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86"/>
      </w:tblGrid>
      <w:tr w:rsidR="00D61A40" w14:paraId="082D7B44" w14:textId="77777777">
        <w:tc>
          <w:tcPr>
            <w:tcW w:w="10786" w:type="dxa"/>
            <w:tcBorders>
              <w:top w:val="none" w:sz="0" w:space="0" w:color="FFFFFF"/>
              <w:left w:val="none" w:sz="0" w:space="0" w:color="FFFFFF"/>
              <w:bottom w:val="none" w:sz="0" w:space="0" w:color="FFFFFF"/>
              <w:right w:val="none" w:sz="0" w:space="0" w:color="FFFFFF"/>
            </w:tcBorders>
            <w:shd w:val="clear" w:color="auto" w:fill="1F3864"/>
            <w:tcMar>
              <w:top w:w="100" w:type="dxa"/>
              <w:left w:w="200" w:type="dxa"/>
              <w:bottom w:w="80" w:type="dxa"/>
              <w:right w:w="200" w:type="dxa"/>
            </w:tcMar>
          </w:tcPr>
          <w:p w14:paraId="306C3BC0" w14:textId="710BE1C6" w:rsidR="00D61A40" w:rsidRDefault="00000000">
            <w:pPr>
              <w:spacing w:after="30"/>
              <w:jc w:val="center"/>
            </w:pPr>
            <w:r>
              <w:rPr>
                <w:b/>
                <w:bCs/>
                <w:caps/>
                <w:color w:val="D6E4F0"/>
                <w:sz w:val="14"/>
                <w:szCs w:val="14"/>
              </w:rPr>
              <w:t>SUBMISSION</w:t>
            </w:r>
          </w:p>
          <w:p w14:paraId="433D10C3" w14:textId="77777777" w:rsidR="00D61A40" w:rsidRDefault="00000000">
            <w:pPr>
              <w:spacing w:after="20"/>
              <w:jc w:val="center"/>
            </w:pPr>
            <w:r>
              <w:rPr>
                <w:b/>
                <w:bCs/>
                <w:color w:val="FFFFFF"/>
                <w:sz w:val="26"/>
                <w:szCs w:val="26"/>
              </w:rPr>
              <w:t>Burwood North Metro Precinct — State-Led Rezoning Proposal</w:t>
            </w:r>
          </w:p>
          <w:p w14:paraId="18B8E4C8" w14:textId="77777777" w:rsidR="00D61A40" w:rsidRDefault="00000000">
            <w:pPr>
              <w:jc w:val="center"/>
            </w:pPr>
            <w:r>
              <w:rPr>
                <w:color w:val="D6E4F0"/>
                <w:sz w:val="14"/>
                <w:szCs w:val="14"/>
              </w:rPr>
              <w:t>To: Executive Director, State Rezoning  |  Department of Planning, Housing and Infrastructure  |  Locked Bag 5022, Parramatta NSW 2124</w:t>
            </w:r>
          </w:p>
        </w:tc>
      </w:tr>
    </w:tbl>
    <w:p w14:paraId="53DE926E" w14:textId="77777777" w:rsidR="00D61A40" w:rsidRDefault="00D61A40">
      <w:pPr>
        <w:spacing w:before="60"/>
      </w:pPr>
    </w:p>
    <w:p w14:paraId="7AB79CEB" w14:textId="77777777" w:rsidR="00712C71" w:rsidRDefault="00712C71">
      <w:pPr>
        <w:spacing w:before="60"/>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86"/>
      </w:tblGrid>
      <w:tr w:rsidR="00D61A40" w14:paraId="282FE664" w14:textId="77777777">
        <w:tc>
          <w:tcPr>
            <w:tcW w:w="10786" w:type="dxa"/>
            <w:tcBorders>
              <w:top w:val="single" w:sz="1" w:space="0" w:color="CCCCCC"/>
              <w:left w:val="single" w:sz="1" w:space="0" w:color="CCCCCC"/>
              <w:bottom w:val="single" w:sz="1" w:space="0" w:color="CCCCCC"/>
              <w:right w:val="single" w:sz="1" w:space="0" w:color="CCCCCC"/>
            </w:tcBorders>
            <w:shd w:val="clear" w:color="auto" w:fill="F7F9FC"/>
            <w:tcMar>
              <w:top w:w="80" w:type="dxa"/>
              <w:left w:w="160" w:type="dxa"/>
              <w:bottom w:w="80" w:type="dxa"/>
              <w:right w:w="160" w:type="dxa"/>
            </w:tcMar>
          </w:tcPr>
          <w:p w14:paraId="1CA45EAE" w14:textId="77777777" w:rsidR="00D61A40" w:rsidRDefault="00000000">
            <w:pPr>
              <w:spacing w:after="50"/>
              <w:rPr>
                <w:i/>
                <w:iCs/>
                <w:color w:val="777777"/>
                <w:sz w:val="15"/>
                <w:szCs w:val="15"/>
              </w:rPr>
            </w:pPr>
            <w:r>
              <w:rPr>
                <w:b/>
                <w:bCs/>
                <w:color w:val="2E5496"/>
              </w:rPr>
              <w:t xml:space="preserve">RESIDENT DETAILS  </w:t>
            </w:r>
            <w:r>
              <w:rPr>
                <w:i/>
                <w:iCs/>
                <w:color w:val="777777"/>
                <w:sz w:val="15"/>
                <w:szCs w:val="15"/>
              </w:rPr>
              <w:t>(complete all fields before lodging)</w:t>
            </w:r>
          </w:p>
          <w:p w14:paraId="76DCAD70" w14:textId="77777777" w:rsidR="00AF7B1C" w:rsidRDefault="00AF7B1C">
            <w:pPr>
              <w:spacing w:after="5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7658"/>
            </w:tblGrid>
            <w:tr w:rsidR="00D61A40" w14:paraId="30B98F90" w14:textId="77777777" w:rsidTr="00AF7B1C">
              <w:tc>
                <w:tcPr>
                  <w:tcW w:w="2808"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68D0EF15" w14:textId="77777777" w:rsidR="00D61A40" w:rsidRDefault="00000000">
                  <w:r>
                    <w:rPr>
                      <w:b/>
                      <w:bCs/>
                      <w:color w:val="1F3864"/>
                    </w:rPr>
                    <w:t>Full Name:</w:t>
                  </w:r>
                </w:p>
              </w:tc>
              <w:tc>
                <w:tcPr>
                  <w:tcW w:w="7658" w:type="dxa"/>
                  <w:tcBorders>
                    <w:top w:val="none" w:sz="0" w:space="0" w:color="FFFFFF"/>
                    <w:left w:val="none" w:sz="0" w:space="0" w:color="FFFFFF"/>
                    <w:bottom w:val="single" w:sz="4" w:space="0" w:color="AAAAAA"/>
                    <w:right w:val="none" w:sz="0" w:space="0" w:color="FFFFFF"/>
                  </w:tcBorders>
                  <w:tcMar>
                    <w:top w:w="30" w:type="dxa"/>
                    <w:left w:w="60" w:type="dxa"/>
                    <w:bottom w:w="10" w:type="dxa"/>
                    <w:right w:w="0" w:type="dxa"/>
                  </w:tcMar>
                </w:tcPr>
                <w:p w14:paraId="3270E979" w14:textId="77777777" w:rsidR="00D61A40" w:rsidRDefault="00D61A40"/>
              </w:tc>
            </w:tr>
            <w:tr w:rsidR="00D61A40" w14:paraId="7100B0F2" w14:textId="77777777" w:rsidTr="00AF7B1C">
              <w:tc>
                <w:tcPr>
                  <w:tcW w:w="2808" w:type="dxa"/>
                  <w:tcBorders>
                    <w:top w:val="none" w:sz="0" w:space="0" w:color="FFFFFF"/>
                    <w:left w:val="none" w:sz="0" w:space="0" w:color="FFFFFF"/>
                    <w:bottom w:val="none" w:sz="0" w:space="0" w:color="FFFFFF"/>
                    <w:right w:val="none" w:sz="0" w:space="0" w:color="FFFFFF"/>
                  </w:tcBorders>
                </w:tcPr>
                <w:p w14:paraId="59C56186" w14:textId="77777777" w:rsidR="00D61A40" w:rsidRDefault="00D61A40">
                  <w:pPr>
                    <w:spacing w:before="14"/>
                  </w:pPr>
                </w:p>
              </w:tc>
              <w:tc>
                <w:tcPr>
                  <w:tcW w:w="7658" w:type="dxa"/>
                  <w:tcBorders>
                    <w:top w:val="none" w:sz="0" w:space="0" w:color="FFFFFF"/>
                    <w:left w:val="none" w:sz="0" w:space="0" w:color="FFFFFF"/>
                    <w:bottom w:val="none" w:sz="0" w:space="0" w:color="FFFFFF"/>
                    <w:right w:val="none" w:sz="0" w:space="0" w:color="FFFFFF"/>
                  </w:tcBorders>
                </w:tcPr>
                <w:p w14:paraId="043B4632" w14:textId="77777777" w:rsidR="00D61A40" w:rsidRDefault="00D61A40">
                  <w:pPr>
                    <w:spacing w:before="14"/>
                  </w:pPr>
                </w:p>
              </w:tc>
            </w:tr>
            <w:tr w:rsidR="00D61A40" w14:paraId="45F3B883" w14:textId="77777777" w:rsidTr="00AF7B1C">
              <w:tc>
                <w:tcPr>
                  <w:tcW w:w="2808"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42912A60" w14:textId="77777777" w:rsidR="00D61A40" w:rsidRDefault="00000000">
                  <w:r>
                    <w:rPr>
                      <w:b/>
                      <w:bCs/>
                      <w:color w:val="1F3864"/>
                    </w:rPr>
                    <w:t>Street Address:</w:t>
                  </w:r>
                </w:p>
              </w:tc>
              <w:tc>
                <w:tcPr>
                  <w:tcW w:w="7658" w:type="dxa"/>
                  <w:tcBorders>
                    <w:top w:val="none" w:sz="0" w:space="0" w:color="FFFFFF"/>
                    <w:left w:val="none" w:sz="0" w:space="0" w:color="FFFFFF"/>
                    <w:bottom w:val="single" w:sz="4" w:space="0" w:color="AAAAAA"/>
                    <w:right w:val="none" w:sz="0" w:space="0" w:color="FFFFFF"/>
                  </w:tcBorders>
                  <w:tcMar>
                    <w:top w:w="30" w:type="dxa"/>
                    <w:left w:w="60" w:type="dxa"/>
                    <w:bottom w:w="10" w:type="dxa"/>
                    <w:right w:w="0" w:type="dxa"/>
                  </w:tcMar>
                </w:tcPr>
                <w:p w14:paraId="56138575" w14:textId="77777777" w:rsidR="00D61A40" w:rsidRDefault="00D61A40"/>
              </w:tc>
            </w:tr>
            <w:tr w:rsidR="00D61A40" w14:paraId="6D261A4F" w14:textId="77777777" w:rsidTr="00AF7B1C">
              <w:tc>
                <w:tcPr>
                  <w:tcW w:w="2808" w:type="dxa"/>
                  <w:tcBorders>
                    <w:top w:val="none" w:sz="0" w:space="0" w:color="FFFFFF"/>
                    <w:left w:val="none" w:sz="0" w:space="0" w:color="FFFFFF"/>
                    <w:bottom w:val="none" w:sz="0" w:space="0" w:color="FFFFFF"/>
                    <w:right w:val="none" w:sz="0" w:space="0" w:color="FFFFFF"/>
                  </w:tcBorders>
                </w:tcPr>
                <w:p w14:paraId="31FA5FB8" w14:textId="77777777" w:rsidR="00D61A40" w:rsidRDefault="00D61A40">
                  <w:pPr>
                    <w:spacing w:before="14"/>
                  </w:pPr>
                </w:p>
              </w:tc>
              <w:tc>
                <w:tcPr>
                  <w:tcW w:w="7658" w:type="dxa"/>
                  <w:tcBorders>
                    <w:top w:val="none" w:sz="0" w:space="0" w:color="FFFFFF"/>
                    <w:left w:val="none" w:sz="0" w:space="0" w:color="FFFFFF"/>
                    <w:bottom w:val="none" w:sz="0" w:space="0" w:color="FFFFFF"/>
                    <w:right w:val="none" w:sz="0" w:space="0" w:color="FFFFFF"/>
                  </w:tcBorders>
                </w:tcPr>
                <w:p w14:paraId="6D36DF6C" w14:textId="77777777" w:rsidR="00D61A40" w:rsidRDefault="00D61A40">
                  <w:pPr>
                    <w:spacing w:before="14"/>
                  </w:pPr>
                </w:p>
              </w:tc>
            </w:tr>
            <w:tr w:rsidR="00AF7B1C" w14:paraId="69F02042" w14:textId="77777777" w:rsidTr="00AF7B1C">
              <w:tc>
                <w:tcPr>
                  <w:tcW w:w="2808" w:type="dxa"/>
                  <w:tcBorders>
                    <w:top w:val="none" w:sz="0" w:space="0" w:color="FFFFFF"/>
                    <w:left w:val="none" w:sz="0" w:space="0" w:color="FFFFFF"/>
                    <w:bottom w:val="none" w:sz="0" w:space="0" w:color="FFFFFF"/>
                    <w:right w:val="none" w:sz="0" w:space="0" w:color="FFFFFF"/>
                  </w:tcBorders>
                  <w:tcMar>
                    <w:top w:w="30" w:type="dxa"/>
                    <w:left w:w="0" w:type="dxa"/>
                    <w:bottom w:w="30" w:type="dxa"/>
                    <w:right w:w="80" w:type="dxa"/>
                  </w:tcMar>
                </w:tcPr>
                <w:p w14:paraId="69CC2E13" w14:textId="77777777" w:rsidR="00AF7B1C" w:rsidRDefault="00AF7B1C" w:rsidP="00AF7B1C">
                  <w:r>
                    <w:rPr>
                      <w:b/>
                      <w:bCs/>
                      <w:color w:val="1F3864"/>
                    </w:rPr>
                    <w:t>Email (optional):</w:t>
                  </w:r>
                </w:p>
              </w:tc>
              <w:tc>
                <w:tcPr>
                  <w:tcW w:w="7658" w:type="dxa"/>
                  <w:tcBorders>
                    <w:top w:val="none" w:sz="0" w:space="0" w:color="FFFFFF"/>
                    <w:left w:val="none" w:sz="0" w:space="0" w:color="FFFFFF"/>
                    <w:bottom w:val="single" w:sz="4" w:space="0" w:color="AAAAAA"/>
                    <w:right w:val="none" w:sz="0" w:space="0" w:color="FFFFFF"/>
                  </w:tcBorders>
                  <w:tcMar>
                    <w:top w:w="30" w:type="dxa"/>
                    <w:left w:w="60" w:type="dxa"/>
                    <w:bottom w:w="10" w:type="dxa"/>
                    <w:right w:w="0" w:type="dxa"/>
                  </w:tcMar>
                </w:tcPr>
                <w:p w14:paraId="591085F6" w14:textId="77777777" w:rsidR="00AF7B1C" w:rsidRDefault="00AF7B1C" w:rsidP="00AF7B1C"/>
              </w:tc>
            </w:tr>
          </w:tbl>
          <w:p w14:paraId="3C12616A" w14:textId="77777777" w:rsidR="00D61A40" w:rsidRDefault="00D61A40"/>
        </w:tc>
      </w:tr>
    </w:tbl>
    <w:p w14:paraId="50A65DB9" w14:textId="77777777" w:rsidR="00D61A40" w:rsidRDefault="00D61A40">
      <w:pPr>
        <w:spacing w:before="60"/>
      </w:pPr>
    </w:p>
    <w:p w14:paraId="3247092D" w14:textId="77777777" w:rsidR="00712C71" w:rsidRDefault="00712C71">
      <w:pPr>
        <w:spacing w:before="60"/>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86"/>
      </w:tblGrid>
      <w:tr w:rsidR="00D61A40" w14:paraId="07DA5F0B" w14:textId="77777777">
        <w:tc>
          <w:tcPr>
            <w:tcW w:w="10786" w:type="dxa"/>
            <w:tcBorders>
              <w:top w:val="none" w:sz="0" w:space="0" w:color="FFFFFF"/>
              <w:left w:val="single" w:sz="12" w:space="0" w:color="C00000"/>
              <w:bottom w:val="none" w:sz="0" w:space="0" w:color="FFFFFF"/>
              <w:right w:val="none" w:sz="0" w:space="0" w:color="FFFFFF"/>
            </w:tcBorders>
            <w:shd w:val="clear" w:color="auto" w:fill="FFF0F0"/>
            <w:tcMar>
              <w:top w:w="70" w:type="dxa"/>
              <w:left w:w="160" w:type="dxa"/>
              <w:bottom w:w="70" w:type="dxa"/>
              <w:right w:w="160" w:type="dxa"/>
            </w:tcMar>
          </w:tcPr>
          <w:p w14:paraId="1966626B" w14:textId="77777777" w:rsidR="00D61A40" w:rsidRDefault="00000000">
            <w:r>
              <w:rPr>
                <w:b/>
                <w:bCs/>
                <w:color w:val="C00000"/>
                <w:sz w:val="19"/>
                <w:szCs w:val="19"/>
              </w:rPr>
              <w:t xml:space="preserve">I OBJECT </w:t>
            </w:r>
            <w:r>
              <w:rPr>
                <w:color w:val="444444"/>
              </w:rPr>
              <w:t>to the Burwood North Metro Precinct State-Led Rezoning Proposal in its current form. I am a resident of the affected area and I make this submission on the grounds set out below. I request that the Department provide a written response to each of these concerns in its finalisation report.</w:t>
            </w:r>
          </w:p>
        </w:tc>
      </w:tr>
    </w:tbl>
    <w:p w14:paraId="3243B4DD" w14:textId="77777777" w:rsidR="00712C71" w:rsidRDefault="00712C71">
      <w:pPr>
        <w:spacing w:before="60"/>
      </w:pPr>
    </w:p>
    <w:p w14:paraId="53510912" w14:textId="77777777" w:rsidR="00D61A40" w:rsidRDefault="00000000">
      <w:pPr>
        <w:spacing w:after="40"/>
        <w:rPr>
          <w:b/>
          <w:bCs/>
          <w:caps/>
          <w:color w:val="2E5496"/>
        </w:rPr>
      </w:pPr>
      <w:r>
        <w:rPr>
          <w:b/>
          <w:bCs/>
          <w:caps/>
          <w:color w:val="2E5496"/>
        </w:rPr>
        <w:t>MY GROUNDS FOR OBJECTION</w:t>
      </w:r>
    </w:p>
    <w:p w14:paraId="09FAA7D2" w14:textId="77777777" w:rsidR="00712C71" w:rsidRDefault="00712C71">
      <w:pPr>
        <w:spacing w:after="40"/>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0"/>
        <w:gridCol w:w="200"/>
        <w:gridCol w:w="5666"/>
      </w:tblGrid>
      <w:tr w:rsidR="00D61A40" w14:paraId="0B7527ED" w14:textId="77777777">
        <w:tc>
          <w:tcPr>
            <w:tcW w:w="49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
              <w:gridCol w:w="4500"/>
            </w:tblGrid>
            <w:tr w:rsidR="00D61A40" w14:paraId="63F1D8DA"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66D5CADB" w14:textId="77777777" w:rsidR="00D61A40" w:rsidRDefault="00000000">
                  <w:pPr>
                    <w:jc w:val="center"/>
                  </w:pPr>
                  <w:r>
                    <w:rPr>
                      <w:b/>
                      <w:bCs/>
                      <w:color w:val="FFFFFF"/>
                    </w:rPr>
                    <w:t>1</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32D4332A" w14:textId="77777777" w:rsidR="00D61A40" w:rsidRDefault="00000000">
                  <w:pPr>
                    <w:spacing w:after="20"/>
                  </w:pPr>
                  <w:r>
                    <w:rPr>
                      <w:b/>
                      <w:bCs/>
                      <w:color w:val="1F3864"/>
                      <w:sz w:val="15"/>
                      <w:szCs w:val="15"/>
                    </w:rPr>
                    <w:t>No Infrastructure Guarantees</w:t>
                  </w:r>
                </w:p>
                <w:p w14:paraId="11BB928D" w14:textId="77CF0938" w:rsidR="00D61A40" w:rsidRDefault="00000000">
                  <w:r>
                    <w:rPr>
                      <w:color w:val="444444"/>
                      <w:sz w:val="14"/>
                      <w:szCs w:val="14"/>
                    </w:rPr>
                    <w:t>18,300 homes proposed with NO binding commitment for schools, hospitals, childcare, GP clinics and other community services. The EIE admits community infrastructure is 'yet to be confirmed.' Concord Hospital is at capacity now.</w:t>
                  </w:r>
                </w:p>
              </w:tc>
            </w:tr>
            <w:tr w:rsidR="00D61A40" w14:paraId="302AFD48" w14:textId="77777777">
              <w:tc>
                <w:tcPr>
                  <w:tcW w:w="420" w:type="dxa"/>
                  <w:tcBorders>
                    <w:top w:val="none" w:sz="0" w:space="0" w:color="FFFFFF"/>
                    <w:left w:val="none" w:sz="0" w:space="0" w:color="FFFFFF"/>
                    <w:bottom w:val="none" w:sz="0" w:space="0" w:color="FFFFFF"/>
                    <w:right w:val="none" w:sz="0" w:space="0" w:color="FFFFFF"/>
                  </w:tcBorders>
                </w:tcPr>
                <w:p w14:paraId="501914C9"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6D3F4AF1" w14:textId="77777777" w:rsidR="00D61A40" w:rsidRDefault="00D61A40">
                  <w:pPr>
                    <w:spacing w:before="3" w:after="3"/>
                  </w:pPr>
                </w:p>
              </w:tc>
            </w:tr>
            <w:tr w:rsidR="00D61A40" w14:paraId="5CD85F3C"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7C438533" w14:textId="77777777" w:rsidR="00D61A40" w:rsidRDefault="00000000">
                  <w:pPr>
                    <w:jc w:val="center"/>
                  </w:pPr>
                  <w:r>
                    <w:rPr>
                      <w:b/>
                      <w:bCs/>
                      <w:color w:val="FFFFFF"/>
                    </w:rPr>
                    <w:t>2</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4559F1C2" w14:textId="77777777" w:rsidR="00D61A40" w:rsidRDefault="00000000">
                  <w:pPr>
                    <w:spacing w:after="20"/>
                  </w:pPr>
                  <w:r>
                    <w:rPr>
                      <w:b/>
                      <w:bCs/>
                      <w:color w:val="1F3864"/>
                      <w:sz w:val="15"/>
                      <w:szCs w:val="15"/>
                    </w:rPr>
                    <w:t>Excessive Building Heights</w:t>
                  </w:r>
                </w:p>
                <w:p w14:paraId="269C7F9D" w14:textId="419613E0" w:rsidR="00D61A40" w:rsidRDefault="00000000">
                  <w:r>
                    <w:rPr>
                      <w:color w:val="444444"/>
                      <w:sz w:val="14"/>
                      <w:szCs w:val="14"/>
                    </w:rPr>
                    <w:t>Towers of 28–42 storeys on single-lane streets. We demand fringe streets — Park Ave, Coles St, Melbourne St, Alexandra St and surrounding streets — be capped at 4 storeys max, scaling up to the Metro core only.</w:t>
                  </w:r>
                </w:p>
              </w:tc>
            </w:tr>
            <w:tr w:rsidR="00D61A40" w14:paraId="32499BD3" w14:textId="77777777">
              <w:tc>
                <w:tcPr>
                  <w:tcW w:w="420" w:type="dxa"/>
                  <w:tcBorders>
                    <w:top w:val="none" w:sz="0" w:space="0" w:color="FFFFFF"/>
                    <w:left w:val="none" w:sz="0" w:space="0" w:color="FFFFFF"/>
                    <w:bottom w:val="none" w:sz="0" w:space="0" w:color="FFFFFF"/>
                    <w:right w:val="none" w:sz="0" w:space="0" w:color="FFFFFF"/>
                  </w:tcBorders>
                </w:tcPr>
                <w:p w14:paraId="73CA5949"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34D03337" w14:textId="77777777" w:rsidR="00D61A40" w:rsidRDefault="00D61A40">
                  <w:pPr>
                    <w:spacing w:before="3" w:after="3"/>
                  </w:pPr>
                </w:p>
              </w:tc>
            </w:tr>
            <w:tr w:rsidR="00D61A40" w14:paraId="3773CF62"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4CEBB522" w14:textId="77777777" w:rsidR="00D61A40" w:rsidRDefault="00000000">
                  <w:pPr>
                    <w:jc w:val="center"/>
                  </w:pPr>
                  <w:r>
                    <w:rPr>
                      <w:b/>
                      <w:bCs/>
                      <w:color w:val="FFFFFF"/>
                    </w:rPr>
                    <w:t>3</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0990BE22" w14:textId="77777777" w:rsidR="00D61A40" w:rsidRDefault="00000000">
                  <w:pPr>
                    <w:spacing w:after="20"/>
                  </w:pPr>
                  <w:r>
                    <w:rPr>
                      <w:b/>
                      <w:bCs/>
                      <w:color w:val="1F3864"/>
                      <w:sz w:val="15"/>
                      <w:szCs w:val="15"/>
                    </w:rPr>
                    <w:t>Streets Cannot Handle the Load</w:t>
                  </w:r>
                </w:p>
                <w:p w14:paraId="10DADD98" w14:textId="50ED9FC0" w:rsidR="00D61A40" w:rsidRDefault="00000000">
                  <w:r>
                    <w:rPr>
                      <w:color w:val="444444"/>
                      <w:sz w:val="14"/>
                      <w:szCs w:val="14"/>
                    </w:rPr>
                    <w:t>Narrow, congested, single-lane streets with parking both sides. No independent traffic study has been done for the residential streets directly affected.</w:t>
                  </w:r>
                  <w:r w:rsidR="002D22D9">
                    <w:rPr>
                      <w:color w:val="444444"/>
                      <w:sz w:val="14"/>
                      <w:szCs w:val="14"/>
                    </w:rPr>
                    <w:t xml:space="preserve"> Park Ave, Coles St, Melbourne St, Alexandra St and surrounding streets are far too narrow to handle this level of density.</w:t>
                  </w:r>
                </w:p>
              </w:tc>
            </w:tr>
            <w:tr w:rsidR="00D61A40" w14:paraId="0289FDCA" w14:textId="77777777">
              <w:tc>
                <w:tcPr>
                  <w:tcW w:w="420" w:type="dxa"/>
                  <w:tcBorders>
                    <w:top w:val="none" w:sz="0" w:space="0" w:color="FFFFFF"/>
                    <w:left w:val="none" w:sz="0" w:space="0" w:color="FFFFFF"/>
                    <w:bottom w:val="none" w:sz="0" w:space="0" w:color="FFFFFF"/>
                    <w:right w:val="none" w:sz="0" w:space="0" w:color="FFFFFF"/>
                  </w:tcBorders>
                </w:tcPr>
                <w:p w14:paraId="70E7C129"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05EA2494" w14:textId="77777777" w:rsidR="00D61A40" w:rsidRDefault="00D61A40">
                  <w:pPr>
                    <w:spacing w:before="3" w:after="3"/>
                  </w:pPr>
                </w:p>
              </w:tc>
            </w:tr>
            <w:tr w:rsidR="00D61A40" w14:paraId="4273AABF"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02D9CE75" w14:textId="77777777" w:rsidR="00D61A40" w:rsidRDefault="00000000">
                  <w:pPr>
                    <w:jc w:val="center"/>
                  </w:pPr>
                  <w:r>
                    <w:rPr>
                      <w:b/>
                      <w:bCs/>
                      <w:color w:val="FFFFFF"/>
                    </w:rPr>
                    <w:t>4</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78D20817" w14:textId="77777777" w:rsidR="00D61A40" w:rsidRDefault="00000000">
                  <w:pPr>
                    <w:spacing w:after="20"/>
                  </w:pPr>
                  <w:r>
                    <w:rPr>
                      <w:b/>
                      <w:bCs/>
                      <w:color w:val="1F3864"/>
                      <w:sz w:val="15"/>
                      <w:szCs w:val="15"/>
                    </w:rPr>
                    <w:t>Schools Deferred — Not Delivered</w:t>
                  </w:r>
                </w:p>
                <w:p w14:paraId="2C8D43ED" w14:textId="77777777" w:rsidR="00D61A40" w:rsidRDefault="00000000">
                  <w:r>
                    <w:rPr>
                      <w:color w:val="444444"/>
                      <w:sz w:val="14"/>
                      <w:szCs w:val="14"/>
                    </w:rPr>
                    <w:t>The EIE says school need will be assessed 'as population growth is realised.' Thousands of children will arrive before a single new school is built. Schools currently at capacity.</w:t>
                  </w:r>
                </w:p>
              </w:tc>
            </w:tr>
            <w:tr w:rsidR="00D61A40" w14:paraId="2910A8B7" w14:textId="77777777">
              <w:tc>
                <w:tcPr>
                  <w:tcW w:w="420" w:type="dxa"/>
                  <w:tcBorders>
                    <w:top w:val="none" w:sz="0" w:space="0" w:color="FFFFFF"/>
                    <w:left w:val="none" w:sz="0" w:space="0" w:color="FFFFFF"/>
                    <w:bottom w:val="none" w:sz="0" w:space="0" w:color="FFFFFF"/>
                    <w:right w:val="none" w:sz="0" w:space="0" w:color="FFFFFF"/>
                  </w:tcBorders>
                </w:tcPr>
                <w:p w14:paraId="6A6A3E72"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08EA8C2F" w14:textId="77777777" w:rsidR="00D61A40" w:rsidRDefault="00D61A40">
                  <w:pPr>
                    <w:spacing w:before="3" w:after="3"/>
                  </w:pPr>
                </w:p>
              </w:tc>
            </w:tr>
            <w:tr w:rsidR="00D61A40" w14:paraId="09F5F74C"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7F252C73" w14:textId="77777777" w:rsidR="00D61A40" w:rsidRDefault="00000000">
                  <w:pPr>
                    <w:jc w:val="center"/>
                  </w:pPr>
                  <w:r>
                    <w:rPr>
                      <w:b/>
                      <w:bCs/>
                      <w:color w:val="FFFFFF"/>
                    </w:rPr>
                    <w:t>5</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50272BEA" w14:textId="77777777" w:rsidR="00D61A40" w:rsidRDefault="00000000">
                  <w:pPr>
                    <w:spacing w:after="20"/>
                  </w:pPr>
                  <w:r>
                    <w:rPr>
                      <w:b/>
                      <w:bCs/>
                      <w:color w:val="1F3864"/>
                      <w:sz w:val="15"/>
                      <w:szCs w:val="15"/>
                    </w:rPr>
                    <w:t>Rezone Metro Core First</w:t>
                  </w:r>
                </w:p>
                <w:p w14:paraId="09CC9ED5" w14:textId="7CA0E805" w:rsidR="00D61A40" w:rsidRDefault="00000000">
                  <w:r>
                    <w:rPr>
                      <w:color w:val="444444"/>
                      <w:sz w:val="14"/>
                      <w:szCs w:val="14"/>
                    </w:rPr>
                    <w:t>The Metro doesn't open until 2032. Concentrate density around the station and Parramatta Road corridor first. Our residential streets should not be in this round</w:t>
                  </w:r>
                  <w:r w:rsidR="006D3166" w:rsidRPr="006D3166">
                    <w:rPr>
                      <w:sz w:val="22"/>
                      <w:szCs w:val="22"/>
                    </w:rPr>
                    <w:t xml:space="preserve"> </w:t>
                  </w:r>
                  <w:r w:rsidR="006D3166" w:rsidRPr="006D3166">
                    <w:rPr>
                      <w:color w:val="444444"/>
                      <w:sz w:val="14"/>
                      <w:szCs w:val="14"/>
                    </w:rPr>
                    <w:t>Remove Park Avenue, Coles Street, Melbourne Street, Alexandra Street, Lloyd George Street, Ada Street, Daly Avenue, John Street and Franklyn Street from the rezoning entirely — these are narrow, established residential streets that are physically incapable of sustaining this level of density, and the communities that have built their lives here deserve to be protected, not demolished.</w:t>
                  </w:r>
                </w:p>
              </w:tc>
            </w:tr>
          </w:tbl>
          <w:p w14:paraId="3C1CCEA4" w14:textId="77777777" w:rsidR="00D61A40" w:rsidRDefault="00D61A40"/>
        </w:tc>
        <w:tc>
          <w:tcPr>
            <w:tcW w:w="200" w:type="dxa"/>
            <w:tcBorders>
              <w:top w:val="none" w:sz="0" w:space="0" w:color="FFFFFF"/>
              <w:left w:val="none" w:sz="0" w:space="0" w:color="FFFFFF"/>
              <w:bottom w:val="none" w:sz="0" w:space="0" w:color="FFFFFF"/>
              <w:right w:val="none" w:sz="0" w:space="0" w:color="FFFFFF"/>
            </w:tcBorders>
          </w:tcPr>
          <w:p w14:paraId="38302D9D" w14:textId="77777777" w:rsidR="00D61A40" w:rsidRDefault="00D61A40"/>
        </w:tc>
        <w:tc>
          <w:tcPr>
            <w:tcW w:w="566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tbl>
            <w:tblPr>
              <w:tblW w:w="5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
              <w:gridCol w:w="5182"/>
            </w:tblGrid>
            <w:tr w:rsidR="00D61A40" w14:paraId="0CE695AE"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2B52B72E" w14:textId="77777777" w:rsidR="00D61A40" w:rsidRDefault="00000000">
                  <w:pPr>
                    <w:jc w:val="center"/>
                  </w:pPr>
                  <w:r>
                    <w:rPr>
                      <w:b/>
                      <w:bCs/>
                      <w:color w:val="FFFFFF"/>
                    </w:rPr>
                    <w:t>6</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1F4A1CB4" w14:textId="77777777" w:rsidR="00D61A40" w:rsidRDefault="00000000">
                  <w:pPr>
                    <w:spacing w:after="20"/>
                  </w:pPr>
                  <w:r>
                    <w:rPr>
                      <w:b/>
                      <w:bCs/>
                      <w:color w:val="1F3864"/>
                      <w:sz w:val="15"/>
                      <w:szCs w:val="15"/>
                    </w:rPr>
                    <w:t>Parking Ratios Undefined</w:t>
                  </w:r>
                </w:p>
                <w:p w14:paraId="793BF9AF" w14:textId="77777777" w:rsidR="00D61A40" w:rsidRDefault="00000000">
                  <w:r>
                    <w:rPr>
                      <w:color w:val="444444"/>
                      <w:sz w:val="14"/>
                      <w:szCs w:val="14"/>
                    </w:rPr>
                    <w:t>No minimum parking ratios set for 15–42 storey buildings. With underground parking depth constrained due to Westconnex tunnels and the Metro not open until 2032, overflow onto already congested residential streets is inevitable.</w:t>
                  </w:r>
                </w:p>
              </w:tc>
            </w:tr>
            <w:tr w:rsidR="00D61A40" w14:paraId="6062298F" w14:textId="77777777">
              <w:tc>
                <w:tcPr>
                  <w:tcW w:w="420" w:type="dxa"/>
                  <w:tcBorders>
                    <w:top w:val="none" w:sz="0" w:space="0" w:color="FFFFFF"/>
                    <w:left w:val="none" w:sz="0" w:space="0" w:color="FFFFFF"/>
                    <w:bottom w:val="none" w:sz="0" w:space="0" w:color="FFFFFF"/>
                    <w:right w:val="none" w:sz="0" w:space="0" w:color="FFFFFF"/>
                  </w:tcBorders>
                </w:tcPr>
                <w:p w14:paraId="0508E54B"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415120BF" w14:textId="77777777" w:rsidR="00D61A40" w:rsidRDefault="00D61A40">
                  <w:pPr>
                    <w:spacing w:before="3" w:after="3"/>
                  </w:pPr>
                </w:p>
              </w:tc>
            </w:tr>
            <w:tr w:rsidR="00D61A40" w14:paraId="21C8A37E"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30E13B8D" w14:textId="77777777" w:rsidR="00D61A40" w:rsidRDefault="00000000">
                  <w:pPr>
                    <w:jc w:val="center"/>
                  </w:pPr>
                  <w:r>
                    <w:rPr>
                      <w:b/>
                      <w:bCs/>
                      <w:color w:val="FFFFFF"/>
                    </w:rPr>
                    <w:t>7</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4BB65994" w14:textId="77777777" w:rsidR="00D61A40" w:rsidRDefault="00000000">
                  <w:pPr>
                    <w:spacing w:after="20"/>
                  </w:pPr>
                  <w:r>
                    <w:rPr>
                      <w:b/>
                      <w:bCs/>
                      <w:color w:val="1F3864"/>
                      <w:sz w:val="15"/>
                      <w:szCs w:val="15"/>
                    </w:rPr>
                    <w:t>Piecemeal Development Risk</w:t>
                  </w:r>
                </w:p>
                <w:p w14:paraId="2D9755F0" w14:textId="77777777" w:rsidR="00D61A40" w:rsidRDefault="00000000">
                  <w:r>
                    <w:rPr>
                      <w:color w:val="444444"/>
                      <w:sz w:val="14"/>
                      <w:szCs w:val="14"/>
                    </w:rPr>
                    <w:t>No requirement for coordinated development across the precinct. Individual lots can be demolished and rebuilt one at a time with no guarantee of cohesive planning outcomes.</w:t>
                  </w:r>
                </w:p>
              </w:tc>
            </w:tr>
            <w:tr w:rsidR="00D61A40" w14:paraId="5A1E6666" w14:textId="77777777">
              <w:tc>
                <w:tcPr>
                  <w:tcW w:w="420" w:type="dxa"/>
                  <w:tcBorders>
                    <w:top w:val="none" w:sz="0" w:space="0" w:color="FFFFFF"/>
                    <w:left w:val="none" w:sz="0" w:space="0" w:color="FFFFFF"/>
                    <w:bottom w:val="none" w:sz="0" w:space="0" w:color="FFFFFF"/>
                    <w:right w:val="none" w:sz="0" w:space="0" w:color="FFFFFF"/>
                  </w:tcBorders>
                </w:tcPr>
                <w:p w14:paraId="2934E14E"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6CB44094" w14:textId="77777777" w:rsidR="00D61A40" w:rsidRDefault="00D61A40">
                  <w:pPr>
                    <w:spacing w:before="3" w:after="3"/>
                  </w:pPr>
                </w:p>
              </w:tc>
            </w:tr>
            <w:tr w:rsidR="00D61A40" w14:paraId="558E8661"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5B4B41FA" w14:textId="77777777" w:rsidR="00D61A40" w:rsidRDefault="00000000">
                  <w:pPr>
                    <w:jc w:val="center"/>
                  </w:pPr>
                  <w:r>
                    <w:rPr>
                      <w:b/>
                      <w:bCs/>
                      <w:color w:val="FFFFFF"/>
                    </w:rPr>
                    <w:t>8</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712EF560" w14:textId="77777777" w:rsidR="00D61A40" w:rsidRDefault="00000000">
                  <w:pPr>
                    <w:spacing w:after="20"/>
                  </w:pPr>
                  <w:r>
                    <w:rPr>
                      <w:b/>
                      <w:bCs/>
                      <w:color w:val="1F3864"/>
                      <w:sz w:val="15"/>
                      <w:szCs w:val="15"/>
                    </w:rPr>
                    <w:t>Developer Land Banking</w:t>
                  </w:r>
                </w:p>
                <w:p w14:paraId="318850BF" w14:textId="77777777" w:rsidR="00D61A40" w:rsidRDefault="00000000">
                  <w:r>
                    <w:rPr>
                      <w:color w:val="444444"/>
                      <w:sz w:val="14"/>
                      <w:szCs w:val="14"/>
                    </w:rPr>
                    <w:t>Rezoning creates instant windfall value. There are no enforceable controls preventing developers from buying, holding and banking land while our streets deteriorate.</w:t>
                  </w:r>
                </w:p>
              </w:tc>
            </w:tr>
            <w:tr w:rsidR="00D61A40" w14:paraId="32A55207" w14:textId="77777777">
              <w:tc>
                <w:tcPr>
                  <w:tcW w:w="420" w:type="dxa"/>
                  <w:tcBorders>
                    <w:top w:val="none" w:sz="0" w:space="0" w:color="FFFFFF"/>
                    <w:left w:val="none" w:sz="0" w:space="0" w:color="FFFFFF"/>
                    <w:bottom w:val="none" w:sz="0" w:space="0" w:color="FFFFFF"/>
                    <w:right w:val="none" w:sz="0" w:space="0" w:color="FFFFFF"/>
                  </w:tcBorders>
                </w:tcPr>
                <w:p w14:paraId="57C60CA8"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63E06591" w14:textId="77777777" w:rsidR="00D61A40" w:rsidRDefault="00D61A40">
                  <w:pPr>
                    <w:spacing w:before="3" w:after="3"/>
                  </w:pPr>
                </w:p>
              </w:tc>
            </w:tr>
            <w:tr w:rsidR="00D61A40" w14:paraId="1DA6AA2A"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0B48B508" w14:textId="77777777" w:rsidR="00D61A40" w:rsidRDefault="00000000">
                  <w:pPr>
                    <w:jc w:val="center"/>
                  </w:pPr>
                  <w:r>
                    <w:rPr>
                      <w:b/>
                      <w:bCs/>
                      <w:color w:val="FFFFFF"/>
                    </w:rPr>
                    <w:t>9</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7F55A940" w14:textId="77777777" w:rsidR="00D61A40" w:rsidRDefault="00000000">
                  <w:pPr>
                    <w:spacing w:after="20"/>
                  </w:pPr>
                  <w:r>
                    <w:rPr>
                      <w:b/>
                      <w:bCs/>
                      <w:color w:val="1F3864"/>
                      <w:sz w:val="15"/>
                      <w:szCs w:val="15"/>
                    </w:rPr>
                    <w:t>Design Guide Not Yet Written</w:t>
                  </w:r>
                </w:p>
                <w:p w14:paraId="144B090B" w14:textId="77777777" w:rsidR="00D61A40" w:rsidRDefault="00000000">
                  <w:r>
                    <w:rPr>
                      <w:color w:val="444444"/>
                      <w:sz w:val="14"/>
                      <w:szCs w:val="14"/>
                    </w:rPr>
                    <w:t>The key document governing building quality, setbacks and street character will be drafted AFTER consultation closes. We cannot assess what we are being asked to approve.</w:t>
                  </w:r>
                </w:p>
              </w:tc>
            </w:tr>
            <w:tr w:rsidR="00D61A40" w14:paraId="6278BB98" w14:textId="77777777">
              <w:tc>
                <w:tcPr>
                  <w:tcW w:w="420" w:type="dxa"/>
                  <w:tcBorders>
                    <w:top w:val="none" w:sz="0" w:space="0" w:color="FFFFFF"/>
                    <w:left w:val="none" w:sz="0" w:space="0" w:color="FFFFFF"/>
                    <w:bottom w:val="none" w:sz="0" w:space="0" w:color="FFFFFF"/>
                    <w:right w:val="none" w:sz="0" w:space="0" w:color="FFFFFF"/>
                  </w:tcBorders>
                </w:tcPr>
                <w:p w14:paraId="1DDAC575" w14:textId="77777777" w:rsidR="00D61A40" w:rsidRDefault="00D61A40">
                  <w:pPr>
                    <w:spacing w:before="3" w:after="3"/>
                  </w:pPr>
                </w:p>
              </w:tc>
              <w:tc>
                <w:tcPr>
                  <w:tcW w:w="4500" w:type="dxa"/>
                  <w:tcBorders>
                    <w:top w:val="none" w:sz="0" w:space="0" w:color="FFFFFF"/>
                    <w:left w:val="none" w:sz="0" w:space="0" w:color="FFFFFF"/>
                    <w:bottom w:val="none" w:sz="0" w:space="0" w:color="FFFFFF"/>
                    <w:right w:val="none" w:sz="0" w:space="0" w:color="FFFFFF"/>
                  </w:tcBorders>
                </w:tcPr>
                <w:p w14:paraId="6CD5D5D2" w14:textId="77777777" w:rsidR="00D61A40" w:rsidRDefault="00D61A40">
                  <w:pPr>
                    <w:spacing w:before="3" w:after="3"/>
                  </w:pPr>
                </w:p>
              </w:tc>
            </w:tr>
            <w:tr w:rsidR="00D61A40" w14:paraId="0E8FE457" w14:textId="77777777">
              <w:tc>
                <w:tcPr>
                  <w:tcW w:w="420" w:type="dxa"/>
                  <w:tcBorders>
                    <w:top w:val="none" w:sz="0" w:space="0" w:color="FFFFFF"/>
                    <w:left w:val="none" w:sz="0" w:space="0" w:color="FFFFFF"/>
                    <w:bottom w:val="none" w:sz="0" w:space="0" w:color="FFFFFF"/>
                    <w:right w:val="none" w:sz="0" w:space="0" w:color="FFFFFF"/>
                  </w:tcBorders>
                  <w:shd w:val="clear" w:color="auto" w:fill="2E5496"/>
                  <w:tcMar>
                    <w:top w:w="40" w:type="dxa"/>
                    <w:left w:w="60" w:type="dxa"/>
                    <w:bottom w:w="40" w:type="dxa"/>
                    <w:right w:w="60" w:type="dxa"/>
                  </w:tcMar>
                  <w:vAlign w:val="center"/>
                </w:tcPr>
                <w:p w14:paraId="4CC19C0C" w14:textId="77777777" w:rsidR="00D61A40" w:rsidRDefault="00000000">
                  <w:pPr>
                    <w:jc w:val="center"/>
                  </w:pPr>
                  <w:r>
                    <w:rPr>
                      <w:b/>
                      <w:bCs/>
                      <w:color w:val="FFFFFF"/>
                    </w:rPr>
                    <w:t>10</w:t>
                  </w:r>
                </w:p>
              </w:tc>
              <w:tc>
                <w:tcPr>
                  <w:tcW w:w="4500" w:type="dxa"/>
                  <w:tcBorders>
                    <w:top w:val="none" w:sz="0" w:space="0" w:color="FFFFFF"/>
                    <w:left w:val="none" w:sz="0" w:space="0" w:color="FFFFFF"/>
                    <w:bottom w:val="none" w:sz="0" w:space="0" w:color="FFFFFF"/>
                    <w:right w:val="none" w:sz="0" w:space="0" w:color="FFFFFF"/>
                  </w:tcBorders>
                  <w:shd w:val="clear" w:color="auto" w:fill="F2F2F2"/>
                  <w:tcMar>
                    <w:top w:w="40" w:type="dxa"/>
                    <w:left w:w="100" w:type="dxa"/>
                    <w:bottom w:w="40" w:type="dxa"/>
                    <w:right w:w="60" w:type="dxa"/>
                  </w:tcMar>
                </w:tcPr>
                <w:p w14:paraId="3A8C4C6E" w14:textId="77777777" w:rsidR="00D61A40" w:rsidRDefault="00000000">
                  <w:pPr>
                    <w:spacing w:after="20"/>
                  </w:pPr>
                  <w:r>
                    <w:rPr>
                      <w:b/>
                      <w:bCs/>
                      <w:color w:val="1F3864"/>
                      <w:sz w:val="15"/>
                      <w:szCs w:val="15"/>
                    </w:rPr>
                    <w:t>Consultation Period Too Short</w:t>
                  </w:r>
                </w:p>
                <w:p w14:paraId="335CEA29" w14:textId="77777777" w:rsidR="00D61A40" w:rsidRDefault="00000000">
                  <w:r>
                    <w:rPr>
                      <w:color w:val="444444"/>
                      <w:sz w:val="14"/>
                      <w:szCs w:val="14"/>
                    </w:rPr>
                    <w:t>Critical documents — including the Urban Design Report and Design Guide — are missing from exhibition. We cannot make an informed submission without them. Extend by 60 days minimum.</w:t>
                  </w:r>
                </w:p>
              </w:tc>
            </w:tr>
          </w:tbl>
          <w:p w14:paraId="41378EFC" w14:textId="77777777" w:rsidR="00D61A40" w:rsidRDefault="00D61A40"/>
        </w:tc>
      </w:tr>
    </w:tbl>
    <w:p w14:paraId="2889626D" w14:textId="77777777" w:rsidR="00D61A40" w:rsidRDefault="00D61A40">
      <w:pPr>
        <w:spacing w:before="60"/>
      </w:pPr>
    </w:p>
    <w:p w14:paraId="765015AF" w14:textId="77777777" w:rsidR="00712C71" w:rsidRDefault="00712C71">
      <w:pPr>
        <w:spacing w:before="60"/>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86"/>
      </w:tblGrid>
      <w:tr w:rsidR="00D61A40" w14:paraId="59F8A8F6" w14:textId="77777777">
        <w:tc>
          <w:tcPr>
            <w:tcW w:w="10786" w:type="dxa"/>
            <w:tcBorders>
              <w:top w:val="single" w:sz="1" w:space="0" w:color="CCCCCC"/>
              <w:left w:val="single" w:sz="1" w:space="0" w:color="CCCCCC"/>
              <w:bottom w:val="single" w:sz="1" w:space="0" w:color="CCCCCC"/>
              <w:right w:val="single" w:sz="1" w:space="0" w:color="CCCCCC"/>
            </w:tcBorders>
            <w:shd w:val="clear" w:color="auto" w:fill="D6E4F0"/>
            <w:tcMar>
              <w:top w:w="70" w:type="dxa"/>
              <w:left w:w="160" w:type="dxa"/>
              <w:bottom w:w="70" w:type="dxa"/>
              <w:right w:w="160" w:type="dxa"/>
            </w:tcMar>
          </w:tcPr>
          <w:p w14:paraId="3991B355" w14:textId="77777777" w:rsidR="00D61A40" w:rsidRDefault="00000000">
            <w:pPr>
              <w:spacing w:after="40"/>
            </w:pPr>
            <w:r>
              <w:rPr>
                <w:b/>
                <w:bCs/>
                <w:color w:val="1F3864"/>
              </w:rPr>
              <w:t>I REQUEST THE DEPARTMENT TO:</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93"/>
              <w:gridCol w:w="80"/>
              <w:gridCol w:w="5193"/>
            </w:tblGrid>
            <w:tr w:rsidR="00D61A40" w14:paraId="29942581" w14:textId="77777777">
              <w:tc>
                <w:tcPr>
                  <w:tcW w:w="5203" w:type="dxa"/>
                  <w:tcBorders>
                    <w:top w:val="none" w:sz="0" w:space="0" w:color="FFFFFF"/>
                    <w:left w:val="none" w:sz="0" w:space="0" w:color="FFFFFF"/>
                    <w:bottom w:val="none" w:sz="0" w:space="0" w:color="FFFFFF"/>
                    <w:right w:val="none" w:sz="0" w:space="0" w:color="FFFFFF"/>
                  </w:tcBorders>
                </w:tcPr>
                <w:p w14:paraId="2599A583" w14:textId="77777777" w:rsidR="00D61A40" w:rsidRDefault="00000000">
                  <w:pPr>
                    <w:pStyle w:val="ListParagraph"/>
                    <w:numPr>
                      <w:ilvl w:val="0"/>
                      <w:numId w:val="2"/>
                    </w:numPr>
                    <w:spacing w:after="20"/>
                  </w:pPr>
                  <w:r>
                    <w:rPr>
                      <w:color w:val="444444"/>
                      <w:sz w:val="15"/>
                      <w:szCs w:val="15"/>
                    </w:rPr>
                    <w:t>Reduce heights to max 4 storeys in residential streets</w:t>
                  </w:r>
                </w:p>
                <w:p w14:paraId="126F6012" w14:textId="77777777" w:rsidR="00D61A40" w:rsidRDefault="00000000">
                  <w:pPr>
                    <w:pStyle w:val="ListParagraph"/>
                    <w:numPr>
                      <w:ilvl w:val="0"/>
                      <w:numId w:val="2"/>
                    </w:numPr>
                    <w:spacing w:after="20"/>
                  </w:pPr>
                  <w:r>
                    <w:rPr>
                      <w:color w:val="444444"/>
                      <w:sz w:val="15"/>
                      <w:szCs w:val="15"/>
                    </w:rPr>
                    <w:t>Guarantee schools, hospitals and childcare before development</w:t>
                  </w:r>
                </w:p>
                <w:p w14:paraId="55C53EF8" w14:textId="77777777" w:rsidR="00D61A40" w:rsidRDefault="00000000">
                  <w:pPr>
                    <w:pStyle w:val="ListParagraph"/>
                    <w:numPr>
                      <w:ilvl w:val="0"/>
                      <w:numId w:val="2"/>
                    </w:numPr>
                  </w:pPr>
                  <w:r>
                    <w:rPr>
                      <w:color w:val="444444"/>
                      <w:sz w:val="15"/>
                      <w:szCs w:val="15"/>
                    </w:rPr>
                    <w:t>Stage rezoning — Metro core and Parramatta Road corridor first</w:t>
                  </w:r>
                </w:p>
              </w:tc>
              <w:tc>
                <w:tcPr>
                  <w:tcW w:w="80" w:type="dxa"/>
                  <w:tcBorders>
                    <w:top w:val="none" w:sz="0" w:space="0" w:color="FFFFFF"/>
                    <w:left w:val="none" w:sz="0" w:space="0" w:color="FFFFFF"/>
                    <w:bottom w:val="none" w:sz="0" w:space="0" w:color="FFFFFF"/>
                    <w:right w:val="none" w:sz="0" w:space="0" w:color="FFFFFF"/>
                  </w:tcBorders>
                </w:tcPr>
                <w:p w14:paraId="0B0DA549" w14:textId="77777777" w:rsidR="00D61A40" w:rsidRDefault="00D61A40"/>
              </w:tc>
              <w:tc>
                <w:tcPr>
                  <w:tcW w:w="5203" w:type="dxa"/>
                  <w:tcBorders>
                    <w:top w:val="none" w:sz="0" w:space="0" w:color="FFFFFF"/>
                    <w:left w:val="none" w:sz="0" w:space="0" w:color="FFFFFF"/>
                    <w:bottom w:val="none" w:sz="0" w:space="0" w:color="FFFFFF"/>
                    <w:right w:val="none" w:sz="0" w:space="0" w:color="FFFFFF"/>
                  </w:tcBorders>
                </w:tcPr>
                <w:p w14:paraId="258A984B" w14:textId="77777777" w:rsidR="00D61A40" w:rsidRDefault="00000000">
                  <w:pPr>
                    <w:pStyle w:val="ListParagraph"/>
                    <w:numPr>
                      <w:ilvl w:val="0"/>
                      <w:numId w:val="2"/>
                    </w:numPr>
                    <w:spacing w:after="20"/>
                  </w:pPr>
                  <w:r>
                    <w:rPr>
                      <w:color w:val="444444"/>
                      <w:sz w:val="15"/>
                      <w:szCs w:val="15"/>
                    </w:rPr>
                    <w:t>Introduce binding anti-land banking controls</w:t>
                  </w:r>
                </w:p>
                <w:p w14:paraId="5101469E" w14:textId="77777777" w:rsidR="00D61A40" w:rsidRDefault="00000000">
                  <w:pPr>
                    <w:pStyle w:val="ListParagraph"/>
                    <w:numPr>
                      <w:ilvl w:val="0"/>
                      <w:numId w:val="2"/>
                    </w:numPr>
                    <w:spacing w:after="20"/>
                  </w:pPr>
                  <w:r>
                    <w:rPr>
                      <w:color w:val="444444"/>
                      <w:sz w:val="15"/>
                      <w:szCs w:val="15"/>
                    </w:rPr>
                    <w:t>Publish Design Guide and Urban Design Report before finalising</w:t>
                  </w:r>
                </w:p>
                <w:p w14:paraId="38FEFF46" w14:textId="77777777" w:rsidR="00D61A40" w:rsidRDefault="00000000">
                  <w:pPr>
                    <w:pStyle w:val="ListParagraph"/>
                    <w:numPr>
                      <w:ilvl w:val="0"/>
                      <w:numId w:val="2"/>
                    </w:numPr>
                  </w:pPr>
                  <w:r>
                    <w:rPr>
                      <w:color w:val="444444"/>
                      <w:sz w:val="15"/>
                      <w:szCs w:val="15"/>
                    </w:rPr>
                    <w:t>Commission independent traffic and geotechnical studies</w:t>
                  </w:r>
                </w:p>
                <w:p w14:paraId="38FEFF47" w14:textId="77777777" w:rsidR="00D61A40" w:rsidRDefault="00000000">
                  <w:pPr>
                    <w:pStyle w:val="ListParagraph"/>
                    <w:numPr>
                      <w:ilvl w:val="0"/>
                      <w:numId w:val="2"/>
                    </w:numPr>
                  </w:pPr>
                  <w:r>
                    <w:rPr>
                      <w:color w:val="444444"/>
                      <w:sz w:val="15"/>
                      <w:szCs w:val="15"/>
                    </w:rPr>
                    <w:t>Extend the consultation period by a minimum of 60 days</w:t>
                  </w:r>
                </w:p>
              </w:tc>
            </w:tr>
          </w:tbl>
          <w:p w14:paraId="336F901E" w14:textId="77777777" w:rsidR="00D61A40" w:rsidRDefault="00D61A40"/>
        </w:tc>
      </w:tr>
    </w:tbl>
    <w:p w14:paraId="3376CBF2" w14:textId="77777777" w:rsidR="00D61A40" w:rsidRDefault="00D61A40">
      <w:pPr>
        <w:spacing w:before="60"/>
      </w:pPr>
    </w:p>
    <w:p w14:paraId="7625C55F" w14:textId="77777777" w:rsidR="00712C71" w:rsidRDefault="00712C71">
      <w:pPr>
        <w:spacing w:before="60"/>
      </w:pPr>
    </w:p>
    <w:p w14:paraId="1D1C991D" w14:textId="77777777" w:rsidR="00712C71" w:rsidRDefault="00712C71">
      <w:pPr>
        <w:spacing w:before="60"/>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86"/>
      </w:tblGrid>
      <w:tr w:rsidR="00D61A40" w14:paraId="2B87CAF3" w14:textId="77777777">
        <w:tc>
          <w:tcPr>
            <w:tcW w:w="10786" w:type="dxa"/>
            <w:tcBorders>
              <w:top w:val="single" w:sz="1" w:space="0" w:color="CCCCCC"/>
              <w:left w:val="single" w:sz="1" w:space="0" w:color="CCCCCC"/>
              <w:bottom w:val="single" w:sz="1" w:space="0" w:color="CCCCCC"/>
              <w:right w:val="single" w:sz="1" w:space="0" w:color="CCCCCC"/>
            </w:tcBorders>
            <w:shd w:val="clear" w:color="auto" w:fill="F7F9FC"/>
            <w:tcMar>
              <w:top w:w="80" w:type="dxa"/>
              <w:left w:w="160" w:type="dxa"/>
              <w:bottom w:w="80" w:type="dxa"/>
              <w:right w:w="160" w:type="dxa"/>
            </w:tcMar>
          </w:tcPr>
          <w:p w14:paraId="6F7ACFF0" w14:textId="77777777" w:rsidR="00D61A40" w:rsidRDefault="00000000">
            <w:pPr>
              <w:spacing w:after="50"/>
            </w:pPr>
            <w:r>
              <w:rPr>
                <w:b/>
                <w:bCs/>
                <w:color w:val="2E5496"/>
              </w:rPr>
              <w:t xml:space="preserve">DECLARATION  </w:t>
            </w:r>
            <w:r>
              <w:rPr>
                <w:i/>
                <w:iCs/>
                <w:color w:val="444444"/>
                <w:sz w:val="14"/>
                <w:szCs w:val="14"/>
              </w:rPr>
              <w:t>I declare that I have not made a reportable political donation of $1,000 or more in the past two years (or I have disclosed this separately).</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0"/>
              <w:gridCol w:w="383"/>
              <w:gridCol w:w="5233"/>
            </w:tblGrid>
            <w:tr w:rsidR="00D61A40" w14:paraId="23EABD0F" w14:textId="77777777">
              <w:tc>
                <w:tcPr>
                  <w:tcW w:w="3800" w:type="dxa"/>
                  <w:tcBorders>
                    <w:top w:val="none" w:sz="0" w:space="0" w:color="FFFFFF"/>
                    <w:left w:val="none" w:sz="0" w:space="0" w:color="FFFFFF"/>
                    <w:bottom w:val="single" w:sz="4" w:space="0" w:color="AAAAAA"/>
                    <w:right w:val="none" w:sz="0" w:space="0" w:color="FFFFFF"/>
                  </w:tcBorders>
                  <w:tcMar>
                    <w:top w:w="30" w:type="dxa"/>
                    <w:left w:w="60" w:type="dxa"/>
                    <w:bottom w:w="10" w:type="dxa"/>
                    <w:right w:w="0" w:type="dxa"/>
                  </w:tcMar>
                </w:tcPr>
                <w:p w14:paraId="55881FE6" w14:textId="77777777" w:rsidR="00D61A40" w:rsidRDefault="00D61A40"/>
              </w:tc>
              <w:tc>
                <w:tcPr>
                  <w:tcW w:w="300" w:type="dxa"/>
                  <w:tcBorders>
                    <w:top w:val="none" w:sz="0" w:space="0" w:color="FFFFFF"/>
                    <w:left w:val="none" w:sz="0" w:space="0" w:color="FFFFFF"/>
                    <w:bottom w:val="none" w:sz="0" w:space="0" w:color="FFFFFF"/>
                    <w:right w:val="none" w:sz="0" w:space="0" w:color="FFFFFF"/>
                  </w:tcBorders>
                </w:tcPr>
                <w:p w14:paraId="623CA22E" w14:textId="77777777" w:rsidR="00D61A40" w:rsidRDefault="00D61A40"/>
              </w:tc>
              <w:tc>
                <w:tcPr>
                  <w:tcW w:w="4100" w:type="dxa"/>
                  <w:tcBorders>
                    <w:top w:val="none" w:sz="0" w:space="0" w:color="FFFFFF"/>
                    <w:left w:val="none" w:sz="0" w:space="0" w:color="FFFFFF"/>
                    <w:bottom w:val="single" w:sz="4" w:space="0" w:color="AAAAAA"/>
                    <w:right w:val="none" w:sz="0" w:space="0" w:color="FFFFFF"/>
                  </w:tcBorders>
                  <w:tcMar>
                    <w:top w:w="30" w:type="dxa"/>
                    <w:left w:w="60" w:type="dxa"/>
                    <w:bottom w:w="10" w:type="dxa"/>
                    <w:right w:w="0" w:type="dxa"/>
                  </w:tcMar>
                </w:tcPr>
                <w:p w14:paraId="4B26A091" w14:textId="77777777" w:rsidR="00D61A40" w:rsidRDefault="00D61A40"/>
              </w:tc>
            </w:tr>
            <w:tr w:rsidR="00D61A40" w14:paraId="07B59267" w14:textId="77777777">
              <w:tc>
                <w:tcPr>
                  <w:tcW w:w="3800" w:type="dxa"/>
                  <w:tcBorders>
                    <w:top w:val="none" w:sz="0" w:space="0" w:color="FFFFFF"/>
                    <w:left w:val="none" w:sz="0" w:space="0" w:color="FFFFFF"/>
                    <w:bottom w:val="none" w:sz="0" w:space="0" w:color="FFFFFF"/>
                    <w:right w:val="none" w:sz="0" w:space="0" w:color="FFFFFF"/>
                  </w:tcBorders>
                  <w:tcMar>
                    <w:top w:w="20" w:type="dxa"/>
                    <w:left w:w="60" w:type="dxa"/>
                    <w:bottom w:w="0" w:type="dxa"/>
                    <w:right w:w="0" w:type="dxa"/>
                  </w:tcMar>
                </w:tcPr>
                <w:p w14:paraId="7F63AEE1" w14:textId="77777777" w:rsidR="00D61A40" w:rsidRDefault="00000000">
                  <w:r>
                    <w:rPr>
                      <w:color w:val="888888"/>
                      <w:sz w:val="14"/>
                      <w:szCs w:val="14"/>
                    </w:rPr>
                    <w:t>Signature</w:t>
                  </w:r>
                </w:p>
              </w:tc>
              <w:tc>
                <w:tcPr>
                  <w:tcW w:w="300" w:type="dxa"/>
                  <w:tcBorders>
                    <w:top w:val="none" w:sz="0" w:space="0" w:color="FFFFFF"/>
                    <w:left w:val="none" w:sz="0" w:space="0" w:color="FFFFFF"/>
                    <w:bottom w:val="none" w:sz="0" w:space="0" w:color="FFFFFF"/>
                    <w:right w:val="none" w:sz="0" w:space="0" w:color="FFFFFF"/>
                  </w:tcBorders>
                </w:tcPr>
                <w:p w14:paraId="2E38E40D" w14:textId="77777777" w:rsidR="00D61A40" w:rsidRDefault="00D61A40"/>
              </w:tc>
              <w:tc>
                <w:tcPr>
                  <w:tcW w:w="4100" w:type="dxa"/>
                  <w:tcBorders>
                    <w:top w:val="none" w:sz="0" w:space="0" w:color="FFFFFF"/>
                    <w:left w:val="none" w:sz="0" w:space="0" w:color="FFFFFF"/>
                    <w:bottom w:val="none" w:sz="0" w:space="0" w:color="FFFFFF"/>
                    <w:right w:val="none" w:sz="0" w:space="0" w:color="FFFFFF"/>
                  </w:tcBorders>
                  <w:tcMar>
                    <w:top w:w="20" w:type="dxa"/>
                    <w:left w:w="60" w:type="dxa"/>
                    <w:bottom w:w="0" w:type="dxa"/>
                    <w:right w:w="0" w:type="dxa"/>
                  </w:tcMar>
                </w:tcPr>
                <w:p w14:paraId="5791995E" w14:textId="77777777" w:rsidR="00D61A40" w:rsidRDefault="00000000">
                  <w:r>
                    <w:rPr>
                      <w:color w:val="888888"/>
                      <w:sz w:val="14"/>
                      <w:szCs w:val="14"/>
                    </w:rPr>
                    <w:t>Date</w:t>
                  </w:r>
                </w:p>
              </w:tc>
            </w:tr>
          </w:tbl>
          <w:p w14:paraId="5BBE386E" w14:textId="77777777" w:rsidR="00D61A40" w:rsidRDefault="00D61A40"/>
        </w:tc>
      </w:tr>
    </w:tbl>
    <w:p w14:paraId="138190D7" w14:textId="77777777" w:rsidR="00D61A40" w:rsidRDefault="00D61A40">
      <w:pPr>
        <w:spacing w:before="60"/>
      </w:pPr>
    </w:p>
    <w:p w14:paraId="643C932D" w14:textId="77777777" w:rsidR="00712C71" w:rsidRDefault="00712C71">
      <w:pPr>
        <w:spacing w:before="60"/>
      </w:pPr>
    </w:p>
    <w:p w14:paraId="7692FB2C" w14:textId="77777777" w:rsidR="00712C71" w:rsidRDefault="00712C71">
      <w:pPr>
        <w:spacing w:before="60"/>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86"/>
      </w:tblGrid>
      <w:tr w:rsidR="00D61A40" w14:paraId="2B8DF0AD" w14:textId="77777777">
        <w:tc>
          <w:tcPr>
            <w:tcW w:w="10786" w:type="dxa"/>
            <w:tcBorders>
              <w:top w:val="none" w:sz="0" w:space="0" w:color="FFFFFF"/>
              <w:left w:val="none" w:sz="0" w:space="0" w:color="FFFFFF"/>
              <w:bottom w:val="none" w:sz="0" w:space="0" w:color="FFFFFF"/>
              <w:right w:val="none" w:sz="0" w:space="0" w:color="FFFFFF"/>
            </w:tcBorders>
            <w:shd w:val="clear" w:color="auto" w:fill="C00000"/>
            <w:tcMar>
              <w:top w:w="70" w:type="dxa"/>
              <w:left w:w="200" w:type="dxa"/>
              <w:bottom w:w="70" w:type="dxa"/>
              <w:right w:w="200" w:type="dxa"/>
            </w:tcMar>
          </w:tcPr>
          <w:p w14:paraId="6C9E434C" w14:textId="06DBFFB8" w:rsidR="00D61A40" w:rsidRDefault="00000000">
            <w:pPr>
              <w:spacing w:after="20"/>
              <w:jc w:val="center"/>
            </w:pPr>
            <w:r>
              <w:rPr>
                <w:color w:val="FFFFFF"/>
                <w:sz w:val="15"/>
                <w:szCs w:val="15"/>
              </w:rPr>
              <w:lastRenderedPageBreak/>
              <w:t xml:space="preserve">Lodge online: </w:t>
            </w:r>
            <w:hyperlink r:id="rId5" w:history="1">
              <w:r w:rsidR="00D61A40">
                <w:rPr>
                  <w:rStyle w:val="Hyperlink"/>
                  <w:sz w:val="15"/>
                  <w:szCs w:val="15"/>
                </w:rPr>
                <w:t>planningportal.nsw.gov.au</w:t>
              </w:r>
            </w:hyperlink>
            <w:r>
              <w:rPr>
                <w:color w:val="FFFFFF"/>
                <w:sz w:val="15"/>
                <w:szCs w:val="15"/>
              </w:rPr>
              <w:t xml:space="preserve"> (search 'Burwood North')  |  Or post this page to: Executive Director, State Rezoning, DPHI, Locked Bag 5022, Parramatta NSW 2124</w:t>
            </w:r>
          </w:p>
          <w:p w14:paraId="0E88A77C" w14:textId="51EB53A3" w:rsidR="00D61A40" w:rsidRDefault="00000000">
            <w:pPr>
              <w:jc w:val="center"/>
            </w:pPr>
            <w:r>
              <w:rPr>
                <w:b/>
                <w:bCs/>
                <w:color w:val="FFFFFF"/>
                <w:sz w:val="15"/>
                <w:szCs w:val="15"/>
              </w:rPr>
              <w:t>Every submission counts — lodge yours before the closing date 10 April 2026. Community is counting on you.</w:t>
            </w:r>
          </w:p>
        </w:tc>
      </w:tr>
    </w:tbl>
    <w:p w14:paraId="7F56F243" w14:textId="77777777" w:rsidR="00B25BC6" w:rsidRDefault="00B25BC6"/>
    <w:sectPr w:rsidR="00B25BC6">
      <w:pgSz w:w="11906" w:h="16838"/>
      <w:pgMar w:top="560" w:right="560" w:bottom="560" w:left="5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5EF"/>
    <w:multiLevelType w:val="hybridMultilevel"/>
    <w:tmpl w:val="013A519E"/>
    <w:lvl w:ilvl="0" w:tplc="A15E3140">
      <w:start w:val="1"/>
      <w:numFmt w:val="bullet"/>
      <w:lvlText w:val="•"/>
      <w:lvlJc w:val="left"/>
      <w:pPr>
        <w:ind w:left="400" w:hanging="240"/>
      </w:pPr>
    </w:lvl>
    <w:lvl w:ilvl="1" w:tplc="F3C6862E">
      <w:numFmt w:val="decimal"/>
      <w:lvlText w:val=""/>
      <w:lvlJc w:val="left"/>
    </w:lvl>
    <w:lvl w:ilvl="2" w:tplc="FAAC3DC6">
      <w:numFmt w:val="decimal"/>
      <w:lvlText w:val=""/>
      <w:lvlJc w:val="left"/>
    </w:lvl>
    <w:lvl w:ilvl="3" w:tplc="22C67C64">
      <w:numFmt w:val="decimal"/>
      <w:lvlText w:val=""/>
      <w:lvlJc w:val="left"/>
    </w:lvl>
    <w:lvl w:ilvl="4" w:tplc="80CEE148">
      <w:numFmt w:val="decimal"/>
      <w:lvlText w:val=""/>
      <w:lvlJc w:val="left"/>
    </w:lvl>
    <w:lvl w:ilvl="5" w:tplc="372C07EC">
      <w:numFmt w:val="decimal"/>
      <w:lvlText w:val=""/>
      <w:lvlJc w:val="left"/>
    </w:lvl>
    <w:lvl w:ilvl="6" w:tplc="48787FBE">
      <w:numFmt w:val="decimal"/>
      <w:lvlText w:val=""/>
      <w:lvlJc w:val="left"/>
    </w:lvl>
    <w:lvl w:ilvl="7" w:tplc="FC88AE7C">
      <w:numFmt w:val="decimal"/>
      <w:lvlText w:val=""/>
      <w:lvlJc w:val="left"/>
    </w:lvl>
    <w:lvl w:ilvl="8" w:tplc="5A0E1E88">
      <w:numFmt w:val="decimal"/>
      <w:lvlText w:val=""/>
      <w:lvlJc w:val="left"/>
    </w:lvl>
  </w:abstractNum>
  <w:abstractNum w:abstractNumId="1" w15:restartNumberingAfterBreak="0">
    <w:nsid w:val="16E32763"/>
    <w:multiLevelType w:val="hybridMultilevel"/>
    <w:tmpl w:val="87880AC8"/>
    <w:lvl w:ilvl="0" w:tplc="0D468104">
      <w:start w:val="1"/>
      <w:numFmt w:val="bullet"/>
      <w:lvlText w:val="●"/>
      <w:lvlJc w:val="left"/>
      <w:pPr>
        <w:ind w:left="720" w:hanging="360"/>
      </w:pPr>
    </w:lvl>
    <w:lvl w:ilvl="1" w:tplc="D9FC4DB2">
      <w:start w:val="1"/>
      <w:numFmt w:val="bullet"/>
      <w:lvlText w:val="○"/>
      <w:lvlJc w:val="left"/>
      <w:pPr>
        <w:ind w:left="1440" w:hanging="360"/>
      </w:pPr>
    </w:lvl>
    <w:lvl w:ilvl="2" w:tplc="1C5E96D6">
      <w:start w:val="1"/>
      <w:numFmt w:val="bullet"/>
      <w:lvlText w:val="■"/>
      <w:lvlJc w:val="left"/>
      <w:pPr>
        <w:ind w:left="2160" w:hanging="360"/>
      </w:pPr>
    </w:lvl>
    <w:lvl w:ilvl="3" w:tplc="1F902FC6">
      <w:start w:val="1"/>
      <w:numFmt w:val="bullet"/>
      <w:lvlText w:val="●"/>
      <w:lvlJc w:val="left"/>
      <w:pPr>
        <w:ind w:left="2880" w:hanging="360"/>
      </w:pPr>
    </w:lvl>
    <w:lvl w:ilvl="4" w:tplc="2F50594A">
      <w:start w:val="1"/>
      <w:numFmt w:val="bullet"/>
      <w:lvlText w:val="○"/>
      <w:lvlJc w:val="left"/>
      <w:pPr>
        <w:ind w:left="3600" w:hanging="360"/>
      </w:pPr>
    </w:lvl>
    <w:lvl w:ilvl="5" w:tplc="02749200">
      <w:start w:val="1"/>
      <w:numFmt w:val="bullet"/>
      <w:lvlText w:val="■"/>
      <w:lvlJc w:val="left"/>
      <w:pPr>
        <w:ind w:left="4320" w:hanging="360"/>
      </w:pPr>
    </w:lvl>
    <w:lvl w:ilvl="6" w:tplc="A6C66FBC">
      <w:start w:val="1"/>
      <w:numFmt w:val="bullet"/>
      <w:lvlText w:val="●"/>
      <w:lvlJc w:val="left"/>
      <w:pPr>
        <w:ind w:left="5040" w:hanging="360"/>
      </w:pPr>
    </w:lvl>
    <w:lvl w:ilvl="7" w:tplc="EAA44A34">
      <w:start w:val="1"/>
      <w:numFmt w:val="bullet"/>
      <w:lvlText w:val="●"/>
      <w:lvlJc w:val="left"/>
      <w:pPr>
        <w:ind w:left="5760" w:hanging="360"/>
      </w:pPr>
    </w:lvl>
    <w:lvl w:ilvl="8" w:tplc="1B446412">
      <w:start w:val="1"/>
      <w:numFmt w:val="bullet"/>
      <w:lvlText w:val="●"/>
      <w:lvlJc w:val="left"/>
      <w:pPr>
        <w:ind w:left="6480" w:hanging="360"/>
      </w:pPr>
    </w:lvl>
  </w:abstractNum>
  <w:num w:numId="1" w16cid:durableId="409085227">
    <w:abstractNumId w:val="1"/>
    <w:lvlOverride w:ilvl="0">
      <w:startOverride w:val="1"/>
    </w:lvlOverride>
  </w:num>
  <w:num w:numId="2" w16cid:durableId="8579354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40"/>
    <w:rsid w:val="002D22D9"/>
    <w:rsid w:val="004570B8"/>
    <w:rsid w:val="006C47C7"/>
    <w:rsid w:val="006C6152"/>
    <w:rsid w:val="006D3166"/>
    <w:rsid w:val="00712C71"/>
    <w:rsid w:val="00A60056"/>
    <w:rsid w:val="00AF7B1C"/>
    <w:rsid w:val="00B25BC6"/>
    <w:rsid w:val="00D61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C94B82"/>
  <w15:docId w15:val="{4C3110E5-201F-BF43-9010-597BA3AA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7"/>
        <w:szCs w:val="17"/>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F7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nningportal.nsw.gov.au/ppr/under-exhibition/burwood-nor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Amanda Bull</cp:lastModifiedBy>
  <cp:revision>7</cp:revision>
  <dcterms:created xsi:type="dcterms:W3CDTF">2026-03-22T03:27:00Z</dcterms:created>
  <dcterms:modified xsi:type="dcterms:W3CDTF">2026-03-28T08:59:00Z</dcterms:modified>
</cp:coreProperties>
</file>