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7B7A" w14:textId="415ABE2A" w:rsidR="00F0667D" w:rsidRDefault="00000000">
      <w:pPr>
        <w:spacing w:after="80"/>
      </w:pPr>
      <w:r>
        <w:rPr>
          <w:b/>
          <w:bCs/>
          <w:caps/>
          <w:color w:val="2E5496"/>
          <w:sz w:val="18"/>
          <w:szCs w:val="18"/>
        </w:rPr>
        <w:t>SUBMISSION</w:t>
      </w:r>
    </w:p>
    <w:p w14:paraId="25A2B3CA" w14:textId="77777777" w:rsidR="00F0667D" w:rsidRDefault="00000000">
      <w:pPr>
        <w:spacing w:after="120"/>
      </w:pPr>
      <w:r>
        <w:rPr>
          <w:b/>
          <w:bCs/>
          <w:color w:val="1F3864"/>
          <w:sz w:val="36"/>
          <w:szCs w:val="36"/>
        </w:rPr>
        <w:t>Burwood North Metro Precinct State-Led Rezoning Proposal</w:t>
      </w:r>
    </w:p>
    <w:p w14:paraId="6DD81642" w14:textId="77777777" w:rsidR="00F0667D" w:rsidRDefault="00000000">
      <w:pPr>
        <w:spacing w:after="80"/>
      </w:pPr>
      <w:r>
        <w:rPr>
          <w:color w:val="555555"/>
        </w:rPr>
        <w:t>Explanation of Intended Effect | March 2026</w:t>
      </w:r>
    </w:p>
    <w:p w14:paraId="15DAE5EE" w14:textId="77777777" w:rsidR="00F0667D" w:rsidRDefault="00000000">
      <w:pPr>
        <w:spacing w:after="80"/>
      </w:pPr>
      <w:r>
        <w:rPr>
          <w:color w:val="555555"/>
        </w:rPr>
        <w:t>Submitted to: Executive Director, State Rezoning | Department of Planning, Housing and Infrastructure</w:t>
      </w:r>
    </w:p>
    <w:p w14:paraId="09B389FF" w14:textId="77777777" w:rsidR="00F0667D" w:rsidRDefault="00000000">
      <w:pPr>
        <w:spacing w:after="80"/>
      </w:pPr>
      <w:r>
        <w:rPr>
          <w:color w:val="555555"/>
        </w:rPr>
        <w:t>Submitted by: [Your Name] | Address: [Your Street], Burwood North</w:t>
      </w:r>
    </w:p>
    <w:p w14:paraId="47C1A765" w14:textId="77777777" w:rsidR="00F0667D" w:rsidRDefault="00F0667D">
      <w:pPr>
        <w:pBdr>
          <w:bottom w:val="single" w:sz="4" w:space="1" w:color="2E5496"/>
        </w:pBd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0667D" w14:paraId="047DD8E9"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180" w:type="dxa"/>
              <w:left w:w="220" w:type="dxa"/>
              <w:bottom w:w="180" w:type="dxa"/>
              <w:right w:w="220" w:type="dxa"/>
            </w:tcMar>
          </w:tcPr>
          <w:p w14:paraId="6B3FAA86" w14:textId="77777777" w:rsidR="00F0667D" w:rsidRDefault="00000000">
            <w:pPr>
              <w:spacing w:before="80" w:after="80"/>
            </w:pPr>
            <w:r>
              <w:rPr>
                <w:color w:val="FFFFFF"/>
              </w:rPr>
              <w:t>POSITION STATEMENT: I object to the Burwood North Metro Precinct Rezoning Proposal in its current form. I support appropriately scaled, well-serviced housing growth near the Metro station. I do not support the imposition of excessive building heights, unresolved infrastructure gaps, and inadequate community protections on the residential streets surrounding the precinct. This submission is lodged as part of a coordinated community response. If the Department fails to respond meaningfully to the concerns raised, our community is prepared to escalate this matter through parliamentary, legal and public advocacy channels.</w:t>
            </w:r>
          </w:p>
        </w:tc>
      </w:tr>
    </w:tbl>
    <w:p w14:paraId="6AF70A6E" w14:textId="77777777" w:rsidR="00F0667D" w:rsidRDefault="00F0667D">
      <w:pPr>
        <w:spacing w:before="160"/>
      </w:pPr>
    </w:p>
    <w:p w14:paraId="2258091C" w14:textId="77777777" w:rsidR="00F0667D" w:rsidRDefault="00000000">
      <w:pPr>
        <w:spacing w:after="140"/>
      </w:pPr>
      <w:r>
        <w:rPr>
          <w:color w:val="222222"/>
        </w:rPr>
        <w:t>I am a resident of [your street], one of the narrow, single-lane residential streets directly affected by this rezoning. I have lived in this area for [X years] and have invested substantially in my home and in this community. This submission addresses ten fundamental concerns with the Explanation of Intended Effect (EIE) as exhibited in March 2026. These concerns are grounded directly in the EIE and its supporting documents.</w:t>
      </w:r>
    </w:p>
    <w:p w14:paraId="2662476C" w14:textId="77777777" w:rsidR="00F0667D" w:rsidRDefault="00F0667D">
      <w:pPr>
        <w:pBdr>
          <w:bottom w:val="single" w:sz="4" w:space="1" w:color="2E5496"/>
        </w:pBd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F0667D" w14:paraId="28B40EB5" w14:textId="77777777">
        <w:tc>
          <w:tcPr>
            <w:tcW w:w="800" w:type="dxa"/>
            <w:tcBorders>
              <w:top w:val="none" w:sz="0" w:space="0" w:color="FFFFFF"/>
              <w:left w:val="none" w:sz="0" w:space="0" w:color="FFFFFF"/>
              <w:bottom w:val="none" w:sz="0" w:space="0" w:color="FFFFFF"/>
              <w:right w:val="none" w:sz="0" w:space="0" w:color="FFFFFF"/>
            </w:tcBorders>
            <w:shd w:val="clear" w:color="auto" w:fill="1F3864"/>
            <w:tcMar>
              <w:top w:w="100" w:type="dxa"/>
              <w:left w:w="140" w:type="dxa"/>
              <w:bottom w:w="100" w:type="dxa"/>
              <w:right w:w="140" w:type="dxa"/>
            </w:tcMar>
            <w:vAlign w:val="center"/>
          </w:tcPr>
          <w:p w14:paraId="235AC251" w14:textId="77777777" w:rsidR="00F0667D" w:rsidRDefault="00000000">
            <w:pPr>
              <w:jc w:val="center"/>
            </w:pPr>
            <w:r>
              <w:rPr>
                <w:b/>
                <w:bCs/>
                <w:color w:val="FFFFFF"/>
                <w:sz w:val="28"/>
                <w:szCs w:val="28"/>
              </w:rPr>
              <w:t>1</w:t>
            </w:r>
          </w:p>
        </w:tc>
        <w:tc>
          <w:tcPr>
            <w:tcW w:w="8560" w:type="dxa"/>
            <w:tcBorders>
              <w:top w:val="none" w:sz="0" w:space="0" w:color="FFFFFF"/>
              <w:left w:val="none" w:sz="0" w:space="0" w:color="FFFFFF"/>
              <w:bottom w:val="none" w:sz="0" w:space="0" w:color="FFFFFF"/>
              <w:right w:val="none" w:sz="0" w:space="0" w:color="FFFFFF"/>
            </w:tcBorders>
            <w:shd w:val="clear" w:color="auto" w:fill="2E5496"/>
            <w:tcMar>
              <w:top w:w="100" w:type="dxa"/>
              <w:left w:w="200" w:type="dxa"/>
              <w:bottom w:w="100" w:type="dxa"/>
              <w:right w:w="140" w:type="dxa"/>
            </w:tcMar>
          </w:tcPr>
          <w:p w14:paraId="6BDD6D39" w14:textId="77777777" w:rsidR="00F0667D" w:rsidRDefault="00000000">
            <w:r>
              <w:rPr>
                <w:b/>
                <w:bCs/>
                <w:color w:val="FFFFFF"/>
                <w:sz w:val="24"/>
                <w:szCs w:val="24"/>
              </w:rPr>
              <w:t xml:space="preserve">Infrastructure Delivery Is Unconfirmed, Unfunded and </w:t>
            </w:r>
            <w:proofErr w:type="spellStart"/>
            <w:r>
              <w:rPr>
                <w:b/>
                <w:bCs/>
                <w:color w:val="FFFFFF"/>
                <w:sz w:val="24"/>
                <w:szCs w:val="24"/>
              </w:rPr>
              <w:t>Unsequenced</w:t>
            </w:r>
            <w:proofErr w:type="spellEnd"/>
          </w:p>
        </w:tc>
      </w:tr>
    </w:tbl>
    <w:p w14:paraId="1EA4F7EB" w14:textId="77777777" w:rsidR="00F0667D" w:rsidRDefault="00F0667D">
      <w:pPr>
        <w:spacing w:before="100"/>
      </w:pPr>
    </w:p>
    <w:p w14:paraId="39C7B4C2" w14:textId="77777777" w:rsidR="00F0667D" w:rsidRDefault="00000000">
      <w:pPr>
        <w:spacing w:before="80" w:after="80"/>
      </w:pPr>
      <w:r>
        <w:rPr>
          <w:color w:val="222222"/>
        </w:rPr>
        <w:t>The EIE proposes capacity for approximately 18,300 new homes and up to 45,000 additional residents. Yet Section 3.5 of the EIE explicitly states that 'the number and extent of key sites, including required social/community infrastructure across the Precinct, are still being investigated and are yet to be confirmed.' This is not a plan — it is an aspiration.</w:t>
      </w:r>
    </w:p>
    <w:p w14:paraId="3D6E4DC5" w14:textId="77777777" w:rsidR="00F0667D" w:rsidRDefault="00000000">
      <w:pPr>
        <w:spacing w:before="80" w:after="80"/>
      </w:pPr>
      <w:r>
        <w:rPr>
          <w:color w:val="222222"/>
        </w:rPr>
        <w:t>The EIE references mechanisms such as the Housing and Productivity Contribution (HPC), developer density bonuses, and works-in-kind agreements as the primary delivery pathways for infrastructure. None of these mechanisms constitute a legally binding guarantee. HPC generates revenue only when dwellings are built and occupied, meaning infrastructure consistently lags population growth.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0667D" w14:paraId="46B46E4A" w14:textId="77777777">
        <w:tc>
          <w:tcPr>
            <w:tcW w:w="9360" w:type="dxa"/>
            <w:tcBorders>
              <w:top w:val="single" w:sz="1" w:space="0" w:color="CCCCCC"/>
              <w:left w:val="single" w:sz="1" w:space="0" w:color="CCCCCC"/>
              <w:bottom w:val="single" w:sz="1" w:space="0" w:color="CCCCCC"/>
              <w:right w:val="single" w:sz="1" w:space="0" w:color="CCCCCC"/>
            </w:tcBorders>
            <w:shd w:val="clear" w:color="auto" w:fill="FDECEA"/>
            <w:tcMar>
              <w:top w:w="120" w:type="dxa"/>
              <w:left w:w="180" w:type="dxa"/>
              <w:bottom w:w="120" w:type="dxa"/>
              <w:right w:w="180" w:type="dxa"/>
            </w:tcMar>
          </w:tcPr>
          <w:p w14:paraId="4BAA497F" w14:textId="77777777" w:rsidR="00F0667D" w:rsidRDefault="00000000">
            <w:pPr>
              <w:spacing w:before="60" w:after="60"/>
            </w:pPr>
            <w:r>
              <w:rPr>
                <w:b/>
                <w:bCs/>
                <w:color w:val="C00000"/>
              </w:rPr>
              <w:t>Critical Concern</w:t>
            </w:r>
          </w:p>
          <w:p w14:paraId="5ED25930" w14:textId="77777777" w:rsidR="00F0667D" w:rsidRDefault="00000000">
            <w:pPr>
              <w:spacing w:before="60" w:after="60"/>
            </w:pPr>
            <w:r>
              <w:rPr>
                <w:color w:val="333333"/>
              </w:rPr>
              <w:t>Residents will be surrounded by high-density construction for years — or decades — before schools, health facilities, childcare centres, parks and community services materialise, if they materialise at all.</w:t>
            </w:r>
          </w:p>
        </w:tc>
      </w:tr>
    </w:tbl>
    <w:p w14:paraId="12F7DD49" w14:textId="77777777" w:rsidR="00F0667D" w:rsidRDefault="00F0667D">
      <w:pPr>
        <w:spacing w:before="80"/>
      </w:pPr>
    </w:p>
    <w:p w14:paraId="49F0E92C" w14:textId="77777777" w:rsidR="00F0667D" w:rsidRDefault="00000000">
      <w:pPr>
        <w:spacing w:before="80" w:after="80"/>
      </w:pPr>
      <w:r>
        <w:rPr>
          <w:color w:val="222222"/>
        </w:rPr>
        <w:t>Demand: The Department must publish a binding Community Infrastructure Delivery Plan — specifying the type, location, size, funding source, responsible agency and delivery timeline for every item of essential infrastructure — before this rezoning is finalised. Infrastructure delivery must be sequenced to precede or coincide with population growth, not follow it.</w:t>
      </w:r>
    </w:p>
    <w:p w14:paraId="3A2E2AE8" w14:textId="77777777" w:rsidR="00F0667D" w:rsidRDefault="00F0667D">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F0667D" w14:paraId="22B57C11" w14:textId="77777777">
        <w:tc>
          <w:tcPr>
            <w:tcW w:w="800" w:type="dxa"/>
            <w:tcBorders>
              <w:top w:val="none" w:sz="0" w:space="0" w:color="FFFFFF"/>
              <w:left w:val="none" w:sz="0" w:space="0" w:color="FFFFFF"/>
              <w:bottom w:val="none" w:sz="0" w:space="0" w:color="FFFFFF"/>
              <w:right w:val="none" w:sz="0" w:space="0" w:color="FFFFFF"/>
            </w:tcBorders>
            <w:shd w:val="clear" w:color="auto" w:fill="1F3864"/>
            <w:tcMar>
              <w:top w:w="100" w:type="dxa"/>
              <w:left w:w="140" w:type="dxa"/>
              <w:bottom w:w="100" w:type="dxa"/>
              <w:right w:w="140" w:type="dxa"/>
            </w:tcMar>
            <w:vAlign w:val="center"/>
          </w:tcPr>
          <w:p w14:paraId="1830CBAB" w14:textId="77777777" w:rsidR="00F0667D" w:rsidRDefault="00000000">
            <w:pPr>
              <w:jc w:val="center"/>
            </w:pPr>
            <w:r>
              <w:rPr>
                <w:b/>
                <w:bCs/>
                <w:color w:val="FFFFFF"/>
                <w:sz w:val="28"/>
                <w:szCs w:val="28"/>
              </w:rPr>
              <w:t>2</w:t>
            </w:r>
          </w:p>
        </w:tc>
        <w:tc>
          <w:tcPr>
            <w:tcW w:w="8560" w:type="dxa"/>
            <w:tcBorders>
              <w:top w:val="none" w:sz="0" w:space="0" w:color="FFFFFF"/>
              <w:left w:val="none" w:sz="0" w:space="0" w:color="FFFFFF"/>
              <w:bottom w:val="none" w:sz="0" w:space="0" w:color="FFFFFF"/>
              <w:right w:val="none" w:sz="0" w:space="0" w:color="FFFFFF"/>
            </w:tcBorders>
            <w:shd w:val="clear" w:color="auto" w:fill="2E5496"/>
            <w:tcMar>
              <w:top w:w="100" w:type="dxa"/>
              <w:left w:w="200" w:type="dxa"/>
              <w:bottom w:w="100" w:type="dxa"/>
              <w:right w:w="140" w:type="dxa"/>
            </w:tcMar>
          </w:tcPr>
          <w:p w14:paraId="23021A3E" w14:textId="77777777" w:rsidR="00F0667D" w:rsidRDefault="00000000">
            <w:r>
              <w:rPr>
                <w:b/>
                <w:bCs/>
                <w:color w:val="FFFFFF"/>
                <w:sz w:val="24"/>
                <w:szCs w:val="24"/>
              </w:rPr>
              <w:t>Proposed Building Heights Are Excessive and Lack a Genuine Transition Scale</w:t>
            </w:r>
          </w:p>
        </w:tc>
      </w:tr>
    </w:tbl>
    <w:p w14:paraId="27654CDA" w14:textId="77777777" w:rsidR="00F0667D" w:rsidRDefault="00F0667D">
      <w:pPr>
        <w:spacing w:before="100"/>
      </w:pPr>
    </w:p>
    <w:p w14:paraId="74421545" w14:textId="5B69F8B1" w:rsidR="00F0667D" w:rsidRDefault="00000000">
      <w:pPr>
        <w:spacing w:before="80" w:after="80"/>
      </w:pPr>
      <w:r>
        <w:rPr>
          <w:color w:val="222222"/>
        </w:rPr>
        <w:t>The proposed Height of Buildings map (Appendix C of the EIE) shows uplift to between 28 metres (8 storeys) and 140 metres (42 storeys) across the Precinct. Crucially, high-density controls are applied not only to sites immediately adjacent to the Metro station but extend deep into established residential streets including Park Ave, Coles St, Melbourne St, Alexandra St, Lloyd George St, Ada St, Daly Ave, John St and Franklyn St.</w:t>
      </w:r>
      <w:r w:rsidR="00F964B3">
        <w:rPr>
          <w:color w:val="222222"/>
        </w:rPr>
        <w:t xml:space="preserve"> These streets are far too narrow to carry this level of density. </w:t>
      </w:r>
    </w:p>
    <w:p w14:paraId="2636DC3F" w14:textId="4CB7D999" w:rsidR="00F0667D" w:rsidRDefault="00000000">
      <w:pPr>
        <w:spacing w:before="80" w:after="80"/>
      </w:pPr>
      <w:r>
        <w:rPr>
          <w:color w:val="222222"/>
        </w:rPr>
        <w:t xml:space="preserve">Good urban design practice — as recognised in the NSW Design Guide and the PRCUTS strategy itself — requires that building heights graduate downward as distance from a transit node increases. The EIE does not apply this principle to the residential streets </w:t>
      </w:r>
      <w:r w:rsidR="001A656C">
        <w:rPr>
          <w:color w:val="222222"/>
        </w:rPr>
        <w:t>north</w:t>
      </w:r>
      <w:r>
        <w:rPr>
          <w:color w:val="222222"/>
        </w:rPr>
        <w:t xml:space="preserve"> of Parramatta Road. The Urban Design Report (COX Architecture 2026), which purportedly informs these controls, has not been made publicly available alongside the EIE.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0667D" w14:paraId="00DE3B02" w14:textId="77777777">
        <w:tc>
          <w:tcPr>
            <w:tcW w:w="9360" w:type="dxa"/>
            <w:tcBorders>
              <w:top w:val="single" w:sz="1" w:space="0" w:color="CCCCCC"/>
              <w:left w:val="single" w:sz="1" w:space="0" w:color="CCCCCC"/>
              <w:bottom w:val="single" w:sz="1" w:space="0" w:color="CCCCCC"/>
              <w:right w:val="single" w:sz="1" w:space="0" w:color="CCCCCC"/>
            </w:tcBorders>
            <w:shd w:val="clear" w:color="auto" w:fill="FDECEA"/>
            <w:tcMar>
              <w:top w:w="120" w:type="dxa"/>
              <w:left w:w="180" w:type="dxa"/>
              <w:bottom w:w="120" w:type="dxa"/>
              <w:right w:w="180" w:type="dxa"/>
            </w:tcMar>
          </w:tcPr>
          <w:p w14:paraId="21AC312F" w14:textId="77777777" w:rsidR="00F0667D" w:rsidRDefault="00000000">
            <w:pPr>
              <w:spacing w:before="60" w:after="60"/>
            </w:pPr>
            <w:r>
              <w:rPr>
                <w:b/>
                <w:bCs/>
                <w:color w:val="C00000"/>
              </w:rPr>
              <w:t>Critical Concern</w:t>
            </w:r>
          </w:p>
          <w:p w14:paraId="65E798CF" w14:textId="77777777" w:rsidR="00F0667D" w:rsidRDefault="00000000">
            <w:pPr>
              <w:spacing w:before="60" w:after="60"/>
            </w:pPr>
            <w:r>
              <w:rPr>
                <w:color w:val="333333"/>
              </w:rPr>
              <w:t>Residents of streets that are physically incapable of supporting high-rise development — due to single-lane width, on-street parking on both sides, and no active transport alternatives — are being asked to accept building heights of up to 28+ storeys with no public access to the urban design modelling that justified these controls.</w:t>
            </w:r>
          </w:p>
        </w:tc>
      </w:tr>
    </w:tbl>
    <w:p w14:paraId="688A6E3A" w14:textId="77777777" w:rsidR="00F0667D" w:rsidRDefault="00F0667D">
      <w:pPr>
        <w:spacing w:before="80"/>
      </w:pPr>
    </w:p>
    <w:p w14:paraId="21B3913F" w14:textId="42C678CB" w:rsidR="00F0667D" w:rsidRDefault="00000000">
      <w:pPr>
        <w:spacing w:before="80" w:after="80"/>
      </w:pPr>
      <w:r>
        <w:rPr>
          <w:color w:val="222222"/>
        </w:rPr>
        <w:t xml:space="preserve">Demand: Building heights in residential streets beyond a defined walking radius from the Metro station must be reduced to a maximum of </w:t>
      </w:r>
      <w:r w:rsidR="00F964B3">
        <w:rPr>
          <w:color w:val="222222"/>
        </w:rPr>
        <w:t>4</w:t>
      </w:r>
      <w:r>
        <w:rPr>
          <w:color w:val="222222"/>
        </w:rPr>
        <w:t xml:space="preserve"> storeys / 22 metres. The full Urban Design Report must be published and exhibited. Height transitions must be graduated, enforceable and reflective of actual street capacity.</w:t>
      </w:r>
      <w:r w:rsidR="00F964B3">
        <w:rPr>
          <w:color w:val="222222"/>
        </w:rPr>
        <w:t xml:space="preserve"> Ideally</w:t>
      </w:r>
      <w:r w:rsidR="00D84AD4">
        <w:rPr>
          <w:color w:val="222222"/>
        </w:rPr>
        <w:t>,</w:t>
      </w:r>
      <w:r w:rsidR="00F964B3">
        <w:rPr>
          <w:color w:val="222222"/>
        </w:rPr>
        <w:t xml:space="preserve"> these streets - </w:t>
      </w:r>
      <w:r w:rsidR="00F964B3">
        <w:rPr>
          <w:color w:val="222222"/>
        </w:rPr>
        <w:t>Park Ave, Coles St, Melbourne St, Alexandra St, Lloyd George St, Ada St, Daly Ave, John St and Franklyn St</w:t>
      </w:r>
      <w:r w:rsidR="00D84AD4">
        <w:rPr>
          <w:color w:val="222222"/>
        </w:rPr>
        <w:t>-</w:t>
      </w:r>
      <w:r w:rsidR="00F964B3">
        <w:rPr>
          <w:color w:val="222222"/>
        </w:rPr>
        <w:t xml:space="preserve"> should be removed from the Rezoning. </w:t>
      </w:r>
    </w:p>
    <w:p w14:paraId="00D7EB97" w14:textId="77777777" w:rsidR="00F0667D" w:rsidRDefault="00F0667D">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F0667D" w14:paraId="63F1ACFF" w14:textId="77777777">
        <w:tc>
          <w:tcPr>
            <w:tcW w:w="800" w:type="dxa"/>
            <w:tcBorders>
              <w:top w:val="none" w:sz="0" w:space="0" w:color="FFFFFF"/>
              <w:left w:val="none" w:sz="0" w:space="0" w:color="FFFFFF"/>
              <w:bottom w:val="none" w:sz="0" w:space="0" w:color="FFFFFF"/>
              <w:right w:val="none" w:sz="0" w:space="0" w:color="FFFFFF"/>
            </w:tcBorders>
            <w:shd w:val="clear" w:color="auto" w:fill="1F3864"/>
            <w:tcMar>
              <w:top w:w="100" w:type="dxa"/>
              <w:left w:w="140" w:type="dxa"/>
              <w:bottom w:w="100" w:type="dxa"/>
              <w:right w:w="140" w:type="dxa"/>
            </w:tcMar>
            <w:vAlign w:val="center"/>
          </w:tcPr>
          <w:p w14:paraId="7675C131" w14:textId="77777777" w:rsidR="00F0667D" w:rsidRDefault="00000000">
            <w:pPr>
              <w:jc w:val="center"/>
            </w:pPr>
            <w:r>
              <w:rPr>
                <w:b/>
                <w:bCs/>
                <w:color w:val="FFFFFF"/>
                <w:sz w:val="28"/>
                <w:szCs w:val="28"/>
              </w:rPr>
              <w:t>3</w:t>
            </w:r>
          </w:p>
        </w:tc>
        <w:tc>
          <w:tcPr>
            <w:tcW w:w="8560" w:type="dxa"/>
            <w:tcBorders>
              <w:top w:val="none" w:sz="0" w:space="0" w:color="FFFFFF"/>
              <w:left w:val="none" w:sz="0" w:space="0" w:color="FFFFFF"/>
              <w:bottom w:val="none" w:sz="0" w:space="0" w:color="FFFFFF"/>
              <w:right w:val="none" w:sz="0" w:space="0" w:color="FFFFFF"/>
            </w:tcBorders>
            <w:shd w:val="clear" w:color="auto" w:fill="2E5496"/>
            <w:tcMar>
              <w:top w:w="100" w:type="dxa"/>
              <w:left w:w="200" w:type="dxa"/>
              <w:bottom w:w="100" w:type="dxa"/>
              <w:right w:w="140" w:type="dxa"/>
            </w:tcMar>
          </w:tcPr>
          <w:p w14:paraId="1E815DA1" w14:textId="77777777" w:rsidR="00F0667D" w:rsidRDefault="00000000">
            <w:r>
              <w:rPr>
                <w:b/>
                <w:bCs/>
                <w:color w:val="FFFFFF"/>
                <w:sz w:val="24"/>
                <w:szCs w:val="24"/>
              </w:rPr>
              <w:t>Existing Street Networks Cannot Support Construction or Long-Term Density</w:t>
            </w:r>
          </w:p>
        </w:tc>
      </w:tr>
    </w:tbl>
    <w:p w14:paraId="4986A5BA" w14:textId="77777777" w:rsidR="00F0667D" w:rsidRDefault="00F0667D">
      <w:pPr>
        <w:spacing w:before="100"/>
      </w:pPr>
    </w:p>
    <w:p w14:paraId="4D90AA69" w14:textId="77777777" w:rsidR="00F0667D" w:rsidRDefault="00000000">
      <w:pPr>
        <w:spacing w:before="80" w:after="80"/>
      </w:pPr>
      <w:r>
        <w:rPr>
          <w:color w:val="222222"/>
        </w:rPr>
        <w:t>The streets directly affected by this rezoning — including Park Ave, Coles St, Melbourne St, Alexandra St, Lloyd George St, Ada St, Daly Ave, John St and Franklyn St — share the following physical characteristics:</w:t>
      </w:r>
    </w:p>
    <w:p w14:paraId="41E64FD1" w14:textId="77777777" w:rsidR="00F0667D" w:rsidRDefault="00000000">
      <w:pPr>
        <w:pStyle w:val="ListParagraph"/>
        <w:numPr>
          <w:ilvl w:val="0"/>
          <w:numId w:val="2"/>
        </w:numPr>
        <w:spacing w:before="60" w:after="60"/>
        <w:ind w:hanging="300"/>
      </w:pPr>
      <w:r>
        <w:rPr>
          <w:color w:val="222222"/>
        </w:rPr>
        <w:t>Single-lane traffic in both directions</w:t>
      </w:r>
    </w:p>
    <w:p w14:paraId="3B90DE51" w14:textId="77777777" w:rsidR="00F0667D" w:rsidRDefault="00000000">
      <w:pPr>
        <w:pStyle w:val="ListParagraph"/>
        <w:numPr>
          <w:ilvl w:val="0"/>
          <w:numId w:val="2"/>
        </w:numPr>
        <w:spacing w:before="60" w:after="60"/>
        <w:ind w:hanging="300"/>
      </w:pPr>
      <w:r>
        <w:rPr>
          <w:color w:val="222222"/>
        </w:rPr>
        <w:t>On-street parking on both sides, which effectively reduces carriageway to a single passing lane</w:t>
      </w:r>
    </w:p>
    <w:p w14:paraId="3FAD97A7" w14:textId="77777777" w:rsidR="00F0667D" w:rsidRDefault="00000000">
      <w:pPr>
        <w:pStyle w:val="ListParagraph"/>
        <w:numPr>
          <w:ilvl w:val="0"/>
          <w:numId w:val="2"/>
        </w:numPr>
        <w:spacing w:before="60" w:after="60"/>
        <w:ind w:hanging="300"/>
      </w:pPr>
      <w:r>
        <w:rPr>
          <w:color w:val="222222"/>
        </w:rPr>
        <w:t>No dedicated cycle infrastructure</w:t>
      </w:r>
    </w:p>
    <w:p w14:paraId="019FAD6D" w14:textId="77777777" w:rsidR="00F0667D" w:rsidRDefault="00000000">
      <w:pPr>
        <w:pStyle w:val="ListParagraph"/>
        <w:numPr>
          <w:ilvl w:val="0"/>
          <w:numId w:val="2"/>
        </w:numPr>
        <w:spacing w:before="60" w:after="60"/>
        <w:ind w:hanging="300"/>
      </w:pPr>
      <w:r>
        <w:rPr>
          <w:color w:val="222222"/>
        </w:rPr>
        <w:t>No formal pedestrian priority zones</w:t>
      </w:r>
    </w:p>
    <w:p w14:paraId="65CCD436" w14:textId="77777777" w:rsidR="00F0667D" w:rsidRDefault="00000000">
      <w:pPr>
        <w:pStyle w:val="ListParagraph"/>
        <w:numPr>
          <w:ilvl w:val="0"/>
          <w:numId w:val="2"/>
        </w:numPr>
        <w:spacing w:before="60" w:after="60"/>
        <w:ind w:hanging="300"/>
      </w:pPr>
      <w:r>
        <w:rPr>
          <w:color w:val="222222"/>
        </w:rPr>
        <w:t>Existing congestion at peak hours under current, much lower density conditions</w:t>
      </w:r>
    </w:p>
    <w:p w14:paraId="7DF5FC7F" w14:textId="77777777" w:rsidR="00F0667D" w:rsidRDefault="00F0667D">
      <w:pPr>
        <w:spacing w:before="80"/>
      </w:pPr>
    </w:p>
    <w:p w14:paraId="60E49A7B" w14:textId="77777777" w:rsidR="00F0667D" w:rsidRDefault="00000000">
      <w:pPr>
        <w:spacing w:before="80" w:after="80"/>
      </w:pPr>
      <w:r>
        <w:rPr>
          <w:color w:val="222222"/>
        </w:rPr>
        <w:t>The EIE's transport strategy promotes 'car-light living' as a rationale for reduced parking requirements. This assumption may be appropriate for streets with wide carriageways and excellent pedestrian and cycling infrastructure, but it is wholly inappropriate for the streets named above.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0667D" w14:paraId="22F533D2" w14:textId="77777777">
        <w:tc>
          <w:tcPr>
            <w:tcW w:w="9360" w:type="dxa"/>
            <w:tcBorders>
              <w:top w:val="single" w:sz="1" w:space="0" w:color="CCCCCC"/>
              <w:left w:val="single" w:sz="1" w:space="0" w:color="CCCCCC"/>
              <w:bottom w:val="single" w:sz="1" w:space="0" w:color="CCCCCC"/>
              <w:right w:val="single" w:sz="1" w:space="0" w:color="CCCCCC"/>
            </w:tcBorders>
            <w:shd w:val="clear" w:color="auto" w:fill="FDECEA"/>
            <w:tcMar>
              <w:top w:w="120" w:type="dxa"/>
              <w:left w:w="180" w:type="dxa"/>
              <w:bottom w:w="120" w:type="dxa"/>
              <w:right w:w="180" w:type="dxa"/>
            </w:tcMar>
          </w:tcPr>
          <w:p w14:paraId="3D0754BF" w14:textId="77777777" w:rsidR="00F0667D" w:rsidRDefault="00000000">
            <w:pPr>
              <w:spacing w:before="60" w:after="60"/>
            </w:pPr>
            <w:r>
              <w:rPr>
                <w:b/>
                <w:bCs/>
                <w:color w:val="C00000"/>
              </w:rPr>
              <w:t>Critical Concern</w:t>
            </w:r>
          </w:p>
          <w:p w14:paraId="5D4B0B16" w14:textId="77777777" w:rsidR="00F0667D" w:rsidRDefault="00000000">
            <w:pPr>
              <w:spacing w:before="60" w:after="60"/>
            </w:pPr>
            <w:r>
              <w:rPr>
                <w:color w:val="333333"/>
              </w:rPr>
              <w:lastRenderedPageBreak/>
              <w:t>The EIE contains no independent traffic impact assessment for the specific residential streets affected by this rezoning. Construction vehicles, concrete trucks, crane operations and skip bins on single-lane streets will render them impassable for existing residents for years.</w:t>
            </w:r>
          </w:p>
        </w:tc>
      </w:tr>
    </w:tbl>
    <w:p w14:paraId="33D1B730" w14:textId="77777777" w:rsidR="00F0667D" w:rsidRDefault="00F0667D">
      <w:pPr>
        <w:spacing w:before="80"/>
      </w:pPr>
    </w:p>
    <w:p w14:paraId="0F6D733F" w14:textId="42330D7B" w:rsidR="00F0667D" w:rsidRDefault="00000000">
      <w:pPr>
        <w:spacing w:before="80" w:after="80"/>
      </w:pPr>
      <w:r>
        <w:rPr>
          <w:color w:val="222222"/>
        </w:rPr>
        <w:t>Demand: An independent Traffic and Infrastructure Capacity Assessment must be commissioned specifically for the residential streets listed above, with results published before rezoning is finalised. No development consent should be issued for sites on these streets until road remediation works are complete and funded.</w:t>
      </w:r>
      <w:r w:rsidR="00F964B3">
        <w:rPr>
          <w:color w:val="222222"/>
        </w:rPr>
        <w:t xml:space="preserve"> </w:t>
      </w:r>
    </w:p>
    <w:p w14:paraId="74EB0450" w14:textId="77777777" w:rsidR="00F0667D" w:rsidRDefault="00F0667D">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F0667D" w14:paraId="4A92AFE2" w14:textId="77777777">
        <w:tc>
          <w:tcPr>
            <w:tcW w:w="800" w:type="dxa"/>
            <w:tcBorders>
              <w:top w:val="none" w:sz="0" w:space="0" w:color="FFFFFF"/>
              <w:left w:val="none" w:sz="0" w:space="0" w:color="FFFFFF"/>
              <w:bottom w:val="none" w:sz="0" w:space="0" w:color="FFFFFF"/>
              <w:right w:val="none" w:sz="0" w:space="0" w:color="FFFFFF"/>
            </w:tcBorders>
            <w:shd w:val="clear" w:color="auto" w:fill="1F3864"/>
            <w:tcMar>
              <w:top w:w="100" w:type="dxa"/>
              <w:left w:w="140" w:type="dxa"/>
              <w:bottom w:w="100" w:type="dxa"/>
              <w:right w:w="140" w:type="dxa"/>
            </w:tcMar>
            <w:vAlign w:val="center"/>
          </w:tcPr>
          <w:p w14:paraId="77115563" w14:textId="77777777" w:rsidR="00F0667D" w:rsidRDefault="00000000">
            <w:pPr>
              <w:jc w:val="center"/>
            </w:pPr>
            <w:r>
              <w:rPr>
                <w:b/>
                <w:bCs/>
                <w:color w:val="FFFFFF"/>
                <w:sz w:val="28"/>
                <w:szCs w:val="28"/>
              </w:rPr>
              <w:t>4</w:t>
            </w:r>
          </w:p>
        </w:tc>
        <w:tc>
          <w:tcPr>
            <w:tcW w:w="8560" w:type="dxa"/>
            <w:tcBorders>
              <w:top w:val="none" w:sz="0" w:space="0" w:color="FFFFFF"/>
              <w:left w:val="none" w:sz="0" w:space="0" w:color="FFFFFF"/>
              <w:bottom w:val="none" w:sz="0" w:space="0" w:color="FFFFFF"/>
              <w:right w:val="none" w:sz="0" w:space="0" w:color="FFFFFF"/>
            </w:tcBorders>
            <w:shd w:val="clear" w:color="auto" w:fill="2E5496"/>
            <w:tcMar>
              <w:top w:w="100" w:type="dxa"/>
              <w:left w:w="200" w:type="dxa"/>
              <w:bottom w:w="100" w:type="dxa"/>
              <w:right w:w="140" w:type="dxa"/>
            </w:tcMar>
          </w:tcPr>
          <w:p w14:paraId="6F05BF8E" w14:textId="77777777" w:rsidR="00F0667D" w:rsidRDefault="00000000">
            <w:r>
              <w:rPr>
                <w:b/>
                <w:bCs/>
                <w:color w:val="FFFFFF"/>
                <w:sz w:val="24"/>
                <w:szCs w:val="24"/>
              </w:rPr>
              <w:t>Schools, Health and Childcare: Vague Commitments Are Not Acceptable</w:t>
            </w:r>
          </w:p>
        </w:tc>
      </w:tr>
    </w:tbl>
    <w:p w14:paraId="78725055" w14:textId="77777777" w:rsidR="00F0667D" w:rsidRDefault="00F0667D">
      <w:pPr>
        <w:spacing w:before="100"/>
      </w:pPr>
    </w:p>
    <w:p w14:paraId="5480C7E9" w14:textId="77777777" w:rsidR="00F0667D" w:rsidRDefault="00000000">
      <w:pPr>
        <w:spacing w:before="80" w:after="80"/>
      </w:pPr>
      <w:r>
        <w:rPr>
          <w:color w:val="222222"/>
        </w:rPr>
        <w:t>Section 4.3.2 of the EIE states that the rezoning 'will not create an immediate need for new schools' and that the 'appropriate model, timing and location will need further assessment by the Department of Education as population growth is realised.'</w:t>
      </w:r>
    </w:p>
    <w:p w14:paraId="6B82195F" w14:textId="77777777" w:rsidR="00F0667D" w:rsidRDefault="00000000">
      <w:pPr>
        <w:spacing w:before="80" w:after="80"/>
      </w:pPr>
      <w:r>
        <w:rPr>
          <w:color w:val="222222"/>
        </w:rPr>
        <w:t>This is planning by deferral. At conservative household occupancy rates, 18,300 new dwellings will generate thousands of school-aged children. Existing schools in the catchment — including Concord Public School and Concord High School — are already operating near capacity. The EIE contains no binding commitment to a new primary school, high school, childcare centre, GP clinic or hospital expansion anywhere in the Precinct.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0667D" w14:paraId="1A33DAF4" w14:textId="77777777">
        <w:tc>
          <w:tcPr>
            <w:tcW w:w="9360" w:type="dxa"/>
            <w:tcBorders>
              <w:top w:val="single" w:sz="1" w:space="0" w:color="CCCCCC"/>
              <w:left w:val="single" w:sz="1" w:space="0" w:color="CCCCCC"/>
              <w:bottom w:val="single" w:sz="1" w:space="0" w:color="CCCCCC"/>
              <w:right w:val="single" w:sz="1" w:space="0" w:color="CCCCCC"/>
            </w:tcBorders>
            <w:shd w:val="clear" w:color="auto" w:fill="D6E4F0"/>
            <w:tcMar>
              <w:top w:w="140" w:type="dxa"/>
              <w:left w:w="200" w:type="dxa"/>
              <w:bottom w:w="140" w:type="dxa"/>
              <w:right w:w="200" w:type="dxa"/>
            </w:tcMar>
          </w:tcPr>
          <w:p w14:paraId="791448A5" w14:textId="77777777" w:rsidR="00F0667D" w:rsidRDefault="00000000">
            <w:pPr>
              <w:spacing w:before="60" w:after="60"/>
            </w:pPr>
            <w:r>
              <w:rPr>
                <w:color w:val="1F3864"/>
              </w:rPr>
              <w:t>The EIE's own text confirms that only ONE site — Site 126 — is specifically required to deliver a community facility (a 2,200 sqm indoor recreation facility). For a precinct of 18,300 homes and potentially 45,000 residents, this is wholly insufficient.</w:t>
            </w:r>
          </w:p>
        </w:tc>
      </w:tr>
    </w:tbl>
    <w:p w14:paraId="5263839A" w14:textId="77777777" w:rsidR="00F0667D" w:rsidRDefault="00F0667D">
      <w:pPr>
        <w:spacing w:before="80"/>
      </w:pPr>
    </w:p>
    <w:p w14:paraId="4EBC974B" w14:textId="60555FFE" w:rsidR="00F0667D" w:rsidRDefault="00000000">
      <w:pPr>
        <w:spacing w:before="80" w:after="80"/>
      </w:pPr>
      <w:r>
        <w:rPr>
          <w:color w:val="222222"/>
        </w:rPr>
        <w:t xml:space="preserve">Demand: The Department must identify, reserve and fund — as a precondition of rezoning finalisation — specific sites for at least </w:t>
      </w:r>
      <w:r w:rsidR="001A656C">
        <w:rPr>
          <w:color w:val="222222"/>
        </w:rPr>
        <w:t>two</w:t>
      </w:r>
      <w:r>
        <w:rPr>
          <w:color w:val="222222"/>
        </w:rPr>
        <w:t xml:space="preserve"> new primary school, one new high school, one community health centre, adequate childcare provision and a GP super-clinic. These sites must be zoned SP2 – Infrastructure and must not be made available for developer-led development under any incentive scheme.</w:t>
      </w:r>
    </w:p>
    <w:p w14:paraId="3404E4C0" w14:textId="77777777" w:rsidR="00F0667D" w:rsidRDefault="00F0667D">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F0667D" w14:paraId="7C7961EF" w14:textId="77777777">
        <w:tc>
          <w:tcPr>
            <w:tcW w:w="800" w:type="dxa"/>
            <w:tcBorders>
              <w:top w:val="none" w:sz="0" w:space="0" w:color="FFFFFF"/>
              <w:left w:val="none" w:sz="0" w:space="0" w:color="FFFFFF"/>
              <w:bottom w:val="none" w:sz="0" w:space="0" w:color="FFFFFF"/>
              <w:right w:val="none" w:sz="0" w:space="0" w:color="FFFFFF"/>
            </w:tcBorders>
            <w:shd w:val="clear" w:color="auto" w:fill="1F3864"/>
            <w:tcMar>
              <w:top w:w="100" w:type="dxa"/>
              <w:left w:w="140" w:type="dxa"/>
              <w:bottom w:w="100" w:type="dxa"/>
              <w:right w:w="140" w:type="dxa"/>
            </w:tcMar>
            <w:vAlign w:val="center"/>
          </w:tcPr>
          <w:p w14:paraId="3AC85EAF" w14:textId="77777777" w:rsidR="00F0667D" w:rsidRDefault="00000000">
            <w:pPr>
              <w:jc w:val="center"/>
            </w:pPr>
            <w:r>
              <w:rPr>
                <w:b/>
                <w:bCs/>
                <w:color w:val="FFFFFF"/>
                <w:sz w:val="28"/>
                <w:szCs w:val="28"/>
              </w:rPr>
              <w:t>5</w:t>
            </w:r>
          </w:p>
        </w:tc>
        <w:tc>
          <w:tcPr>
            <w:tcW w:w="8560" w:type="dxa"/>
            <w:tcBorders>
              <w:top w:val="none" w:sz="0" w:space="0" w:color="FFFFFF"/>
              <w:left w:val="none" w:sz="0" w:space="0" w:color="FFFFFF"/>
              <w:bottom w:val="none" w:sz="0" w:space="0" w:color="FFFFFF"/>
              <w:right w:val="none" w:sz="0" w:space="0" w:color="FFFFFF"/>
            </w:tcBorders>
            <w:shd w:val="clear" w:color="auto" w:fill="2E5496"/>
            <w:tcMar>
              <w:top w:w="100" w:type="dxa"/>
              <w:left w:w="200" w:type="dxa"/>
              <w:bottom w:w="100" w:type="dxa"/>
              <w:right w:w="140" w:type="dxa"/>
            </w:tcMar>
          </w:tcPr>
          <w:p w14:paraId="33E53D9C" w14:textId="77777777" w:rsidR="00F0667D" w:rsidRDefault="00000000">
            <w:r>
              <w:rPr>
                <w:b/>
                <w:bCs/>
                <w:color w:val="FFFFFF"/>
                <w:sz w:val="24"/>
                <w:szCs w:val="24"/>
              </w:rPr>
              <w:t>Rezone the Metro Core First — Our Residential Streets Should Not Be in This Round</w:t>
            </w:r>
          </w:p>
        </w:tc>
      </w:tr>
    </w:tbl>
    <w:p w14:paraId="57AF0CFA" w14:textId="77777777" w:rsidR="00F0667D" w:rsidRDefault="00F0667D">
      <w:pPr>
        <w:spacing w:before="100"/>
      </w:pPr>
    </w:p>
    <w:p w14:paraId="7191B619" w14:textId="77777777" w:rsidR="00F0667D" w:rsidRDefault="00000000">
      <w:pPr>
        <w:spacing w:before="80" w:after="80"/>
      </w:pPr>
      <w:r>
        <w:rPr>
          <w:color w:val="222222"/>
        </w:rPr>
        <w:t xml:space="preserve">The rezoning proposal applies high-density controls to the entire 113-hectare Precinct simultaneously — blanketing narrow residential streets like Park Ave, Coles St, Melbourne St, Alexandra St, Lloyd George St, Ada St, Daly Ave, John St and Franklyn St in the same round as the sites immediately adjacent to the Metro station. There is no planning justification for this. The Burwood North Metro station is not expected to open until 2032. The infrastructure needed to support density — schools, health facilities, road upgrades, open space — is unconfirmed and unfunded. The community has had no opportunity to observe what high-density development near the Metro </w:t>
      </w:r>
      <w:proofErr w:type="gramStart"/>
      <w:r>
        <w:rPr>
          <w:color w:val="222222"/>
        </w:rPr>
        <w:t>actually looks</w:t>
      </w:r>
      <w:proofErr w:type="gramEnd"/>
      <w:r>
        <w:rPr>
          <w:color w:val="222222"/>
        </w:rPr>
        <w:t xml:space="preserve"> like before it is imposed on their own streets.</w:t>
      </w:r>
    </w:p>
    <w:p w14:paraId="7E03D0C5" w14:textId="77777777" w:rsidR="00F0667D" w:rsidRDefault="00000000">
      <w:pPr>
        <w:spacing w:before="80" w:after="80"/>
      </w:pPr>
      <w:r>
        <w:rPr>
          <w:color w:val="222222"/>
        </w:rPr>
        <w:t xml:space="preserve">A staged approach is the responsible alternative. Concentrate this round of rezoning on sites within immediate walking distance of the Metro station and along the Parramatta Road corridor — where high density is genuinely appropriate and where infrastructure delivery can be monitored. Allow the community to assess the outcomes of that first stage before any future expansion into </w:t>
      </w:r>
      <w:r>
        <w:rPr>
          <w:color w:val="222222"/>
        </w:rPr>
        <w:lastRenderedPageBreak/>
        <w:t>surrounding residential streets is considered. Bind that process to a mandatory community review, with residents given a genuine voice at each stage before further controls are applied.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0667D" w14:paraId="7987241B" w14:textId="77777777">
        <w:tc>
          <w:tcPr>
            <w:tcW w:w="9360" w:type="dxa"/>
            <w:tcBorders>
              <w:top w:val="single" w:sz="1" w:space="0" w:color="CCCCCC"/>
              <w:left w:val="single" w:sz="1" w:space="0" w:color="CCCCCC"/>
              <w:bottom w:val="single" w:sz="1" w:space="0" w:color="CCCCCC"/>
              <w:right w:val="single" w:sz="1" w:space="0" w:color="CCCCCC"/>
            </w:tcBorders>
            <w:shd w:val="clear" w:color="auto" w:fill="FDECEA"/>
            <w:tcMar>
              <w:top w:w="120" w:type="dxa"/>
              <w:left w:w="180" w:type="dxa"/>
              <w:bottom w:w="120" w:type="dxa"/>
              <w:right w:w="180" w:type="dxa"/>
            </w:tcMar>
          </w:tcPr>
          <w:p w14:paraId="736D00C9" w14:textId="77777777" w:rsidR="00F0667D" w:rsidRDefault="00000000">
            <w:pPr>
              <w:spacing w:before="60" w:after="60"/>
            </w:pPr>
            <w:r>
              <w:rPr>
                <w:b/>
                <w:bCs/>
                <w:color w:val="C00000"/>
              </w:rPr>
              <w:t>Critical Concern</w:t>
            </w:r>
          </w:p>
          <w:p w14:paraId="37C41C86" w14:textId="77777777" w:rsidR="00F0667D" w:rsidRDefault="00000000">
            <w:pPr>
              <w:spacing w:before="60" w:after="60"/>
            </w:pPr>
            <w:r>
              <w:rPr>
                <w:color w:val="333333"/>
              </w:rPr>
              <w:t>Blanket rezoning of an entire precinct in a single instrument — handed to developers all at once, before a single piece of promised infrastructure exists — is not a housing plan. It is a speculation windfall. Our streets should not be included in this round. The Metro core and Parramatta Road corridor should be rezoned first, with results assessed before our residential streets are touched.</w:t>
            </w:r>
          </w:p>
        </w:tc>
      </w:tr>
    </w:tbl>
    <w:p w14:paraId="5081216F" w14:textId="77777777" w:rsidR="00F0667D" w:rsidRDefault="00F0667D">
      <w:pPr>
        <w:spacing w:before="80"/>
      </w:pPr>
    </w:p>
    <w:p w14:paraId="04EC8275" w14:textId="779F83EE" w:rsidR="00F0667D" w:rsidRDefault="00000000">
      <w:pPr>
        <w:spacing w:before="80" w:after="80"/>
      </w:pPr>
      <w:r>
        <w:rPr>
          <w:color w:val="222222"/>
        </w:rPr>
        <w:t>Demand: The rezoning must be staged. Stage 1 must be limited to sites within 400 metres of the Metro station and properties fronting the Parramatta Road corridor. Residential streets beyond that boundary — including those named in this submission — must be excluded from this round of rezoning and subject to a separate, community-reviewed process only after Stage 1 outcomes have been independently assessed and infrastructure delivery has been demonstrated.</w:t>
      </w:r>
      <w:r w:rsidR="00D84AD4">
        <w:rPr>
          <w:color w:val="222222"/>
        </w:rPr>
        <w:t xml:space="preserve"> </w:t>
      </w:r>
      <w:r w:rsidR="00D84AD4">
        <w:rPr>
          <w:color w:val="222222"/>
        </w:rPr>
        <w:t>Ideally, these streets - Park Ave, Coles St, Melbourne St, Alexandra St, Lloyd George St, Ada St, Daly Ave, John St and Franklyn St- should be removed from the Rezoning</w:t>
      </w:r>
      <w:r w:rsidR="00D84AD4">
        <w:rPr>
          <w:color w:val="222222"/>
        </w:rPr>
        <w:t xml:space="preserve"> due to the nature of the community already established here. </w:t>
      </w:r>
      <w:proofErr w:type="gramStart"/>
      <w:r w:rsidR="00D84AD4">
        <w:rPr>
          <w:color w:val="222222"/>
        </w:rPr>
        <w:t>Also</w:t>
      </w:r>
      <w:proofErr w:type="gramEnd"/>
      <w:r w:rsidR="00D84AD4">
        <w:rPr>
          <w:color w:val="222222"/>
        </w:rPr>
        <w:t xml:space="preserve"> the very narrow streets, could not sustain this level of density. </w:t>
      </w:r>
    </w:p>
    <w:p w14:paraId="005581E6" w14:textId="77777777" w:rsidR="00F0667D" w:rsidRDefault="00F0667D">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F0667D" w14:paraId="2A4B8021" w14:textId="77777777">
        <w:tc>
          <w:tcPr>
            <w:tcW w:w="800" w:type="dxa"/>
            <w:tcBorders>
              <w:top w:val="none" w:sz="0" w:space="0" w:color="FFFFFF"/>
              <w:left w:val="none" w:sz="0" w:space="0" w:color="FFFFFF"/>
              <w:bottom w:val="none" w:sz="0" w:space="0" w:color="FFFFFF"/>
              <w:right w:val="none" w:sz="0" w:space="0" w:color="FFFFFF"/>
            </w:tcBorders>
            <w:shd w:val="clear" w:color="auto" w:fill="1F3864"/>
            <w:tcMar>
              <w:top w:w="100" w:type="dxa"/>
              <w:left w:w="140" w:type="dxa"/>
              <w:bottom w:w="100" w:type="dxa"/>
              <w:right w:w="140" w:type="dxa"/>
            </w:tcMar>
            <w:vAlign w:val="center"/>
          </w:tcPr>
          <w:p w14:paraId="6B64FB4A" w14:textId="77777777" w:rsidR="00F0667D" w:rsidRDefault="00000000">
            <w:pPr>
              <w:jc w:val="center"/>
            </w:pPr>
            <w:r>
              <w:rPr>
                <w:b/>
                <w:bCs/>
                <w:color w:val="FFFFFF"/>
                <w:sz w:val="28"/>
                <w:szCs w:val="28"/>
              </w:rPr>
              <w:t>6</w:t>
            </w:r>
          </w:p>
        </w:tc>
        <w:tc>
          <w:tcPr>
            <w:tcW w:w="8560" w:type="dxa"/>
            <w:tcBorders>
              <w:top w:val="none" w:sz="0" w:space="0" w:color="FFFFFF"/>
              <w:left w:val="none" w:sz="0" w:space="0" w:color="FFFFFF"/>
              <w:bottom w:val="none" w:sz="0" w:space="0" w:color="FFFFFF"/>
              <w:right w:val="none" w:sz="0" w:space="0" w:color="FFFFFF"/>
            </w:tcBorders>
            <w:shd w:val="clear" w:color="auto" w:fill="2E5496"/>
            <w:tcMar>
              <w:top w:w="100" w:type="dxa"/>
              <w:left w:w="200" w:type="dxa"/>
              <w:bottom w:w="100" w:type="dxa"/>
              <w:right w:w="140" w:type="dxa"/>
            </w:tcMar>
          </w:tcPr>
          <w:p w14:paraId="1C094291" w14:textId="77777777" w:rsidR="00F0667D" w:rsidRDefault="00000000">
            <w:r>
              <w:rPr>
                <w:b/>
                <w:bCs/>
                <w:color w:val="FFFFFF"/>
                <w:sz w:val="24"/>
                <w:szCs w:val="24"/>
              </w:rPr>
              <w:t>Parking Ratios Are Undefined — Overflow onto Narrow Streets Is Inevitable</w:t>
            </w:r>
          </w:p>
        </w:tc>
      </w:tr>
    </w:tbl>
    <w:p w14:paraId="2D7F4875" w14:textId="77777777" w:rsidR="00F0667D" w:rsidRDefault="00F0667D">
      <w:pPr>
        <w:spacing w:before="100"/>
      </w:pPr>
    </w:p>
    <w:p w14:paraId="070B7B83" w14:textId="77777777" w:rsidR="00F0667D" w:rsidRDefault="00000000">
      <w:pPr>
        <w:spacing w:before="80" w:after="80"/>
      </w:pPr>
      <w:r>
        <w:rPr>
          <w:color w:val="222222"/>
        </w:rPr>
        <w:t xml:space="preserve">The EIE's transport strategy promotes reduced car dependency and lower parking rates, consistent with transit-oriented development policy. However, it specifies no minimum parking ratios for high-density residential development in this Precinct — and the Burwood North Metro station will not open until 2032, meaning reduced parking ratios are being applied before the transport alternative that justifies them </w:t>
      </w:r>
      <w:proofErr w:type="gramStart"/>
      <w:r>
        <w:rPr>
          <w:color w:val="222222"/>
        </w:rPr>
        <w:t>actually exists</w:t>
      </w:r>
      <w:proofErr w:type="gramEnd"/>
      <w:r>
        <w:rPr>
          <w:color w:val="222222"/>
        </w:rPr>
        <w:t>.</w:t>
      </w:r>
    </w:p>
    <w:p w14:paraId="5E8DFD3F" w14:textId="77777777" w:rsidR="00F0667D" w:rsidRDefault="00000000">
      <w:pPr>
        <w:spacing w:before="80" w:after="80"/>
      </w:pPr>
      <w:r>
        <w:rPr>
          <w:color w:val="222222"/>
        </w:rPr>
        <w:t>For residents of single-lane streets like those listed in this submission, any shortfall in on-site parking will immediately manifest as overflow parking onto already congested carriageways. The current situation — where streets like Park Ave and Ada St already experience peak-hour gridlock — will become unmanageable once high-density development begins.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0667D" w14:paraId="1C03157C" w14:textId="77777777">
        <w:tc>
          <w:tcPr>
            <w:tcW w:w="9360" w:type="dxa"/>
            <w:tcBorders>
              <w:top w:val="single" w:sz="1" w:space="0" w:color="CCCCCC"/>
              <w:left w:val="single" w:sz="1" w:space="0" w:color="CCCCCC"/>
              <w:bottom w:val="single" w:sz="1" w:space="0" w:color="CCCCCC"/>
              <w:right w:val="single" w:sz="1" w:space="0" w:color="CCCCCC"/>
            </w:tcBorders>
            <w:shd w:val="clear" w:color="auto" w:fill="FDECEA"/>
            <w:tcMar>
              <w:top w:w="120" w:type="dxa"/>
              <w:left w:w="180" w:type="dxa"/>
              <w:bottom w:w="120" w:type="dxa"/>
              <w:right w:w="180" w:type="dxa"/>
            </w:tcMar>
          </w:tcPr>
          <w:p w14:paraId="08393D9F" w14:textId="77777777" w:rsidR="00F0667D" w:rsidRDefault="00000000">
            <w:pPr>
              <w:spacing w:before="60" w:after="60"/>
            </w:pPr>
            <w:r>
              <w:rPr>
                <w:b/>
                <w:bCs/>
                <w:color w:val="C00000"/>
              </w:rPr>
              <w:t>Critical Concern</w:t>
            </w:r>
          </w:p>
          <w:p w14:paraId="16FDA72D" w14:textId="77777777" w:rsidR="00F0667D" w:rsidRDefault="00000000">
            <w:pPr>
              <w:spacing w:before="60" w:after="60"/>
            </w:pPr>
            <w:r>
              <w:rPr>
                <w:color w:val="333333"/>
              </w:rPr>
              <w:t>Transit-oriented development parking minima assume walkable, cycling-friendly environments with excellent public transport frequency. This Precinct does not yet have the Burwood North Metro station open (completion expected 2032), meaning reduced parking ratios are being applied to a precinct that currently lacks the transport alternatives that justify them.</w:t>
            </w:r>
          </w:p>
        </w:tc>
      </w:tr>
    </w:tbl>
    <w:p w14:paraId="3D5BE900" w14:textId="77777777" w:rsidR="00F0667D" w:rsidRDefault="00F0667D">
      <w:pPr>
        <w:spacing w:before="80"/>
      </w:pPr>
    </w:p>
    <w:p w14:paraId="3BAA7B50" w14:textId="3CDF62F0" w:rsidR="004E4270" w:rsidRDefault="00000000" w:rsidP="004E4270">
      <w:pPr>
        <w:spacing w:before="80" w:after="80"/>
      </w:pPr>
      <w:r>
        <w:rPr>
          <w:color w:val="222222"/>
        </w:rPr>
        <w:t>Demand: Minimum parking ratios specific to this Precinct must be established and published before the rezoning is finalised, reflecting actual street network capacity. Parking ratios must not be reduced below current standards until the Metro is open and operating</w:t>
      </w:r>
      <w:proofErr w:type="gramStart"/>
      <w:r>
        <w:rPr>
          <w:color w:val="222222"/>
        </w:rPr>
        <w:t>.</w:t>
      </w:r>
      <w:r w:rsidR="004E4270">
        <w:rPr>
          <w:color w:val="222222"/>
        </w:rPr>
        <w:t xml:space="preserve"> </w:t>
      </w:r>
      <w:r w:rsidR="004E4270">
        <w:rPr>
          <w:color w:val="222222"/>
        </w:rPr>
        <w:t>.</w:t>
      </w:r>
      <w:proofErr w:type="gramEnd"/>
      <w:r w:rsidR="004E4270">
        <w:rPr>
          <w:color w:val="222222"/>
        </w:rPr>
        <w:t xml:space="preserve"> </w:t>
      </w:r>
      <w:r w:rsidR="004E4270">
        <w:rPr>
          <w:color w:val="222222"/>
        </w:rPr>
        <w:t>These</w:t>
      </w:r>
      <w:r w:rsidR="004E4270">
        <w:rPr>
          <w:color w:val="222222"/>
        </w:rPr>
        <w:t xml:space="preserve"> streets - Park Ave, Coles St, Melbourne St, Alexandra St, Lloyd George St, Ada St, Daly Ave, John St and Franklyn St</w:t>
      </w:r>
      <w:r w:rsidR="004E4270">
        <w:rPr>
          <w:color w:val="222222"/>
        </w:rPr>
        <w:t xml:space="preserve"> are currently at capacity for car parking.  These streets should not be part of this rezoning. </w:t>
      </w:r>
      <w:r w:rsidR="004E4270">
        <w:rPr>
          <w:color w:val="222222"/>
        </w:rPr>
        <w:t xml:space="preserve"> </w:t>
      </w:r>
    </w:p>
    <w:p w14:paraId="0A066C43" w14:textId="1649859B" w:rsidR="00F0667D" w:rsidRDefault="00F0667D">
      <w:pPr>
        <w:spacing w:before="80" w:after="80"/>
      </w:pPr>
    </w:p>
    <w:p w14:paraId="3373EFDA" w14:textId="77777777" w:rsidR="00F0667D" w:rsidRDefault="00F0667D">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F0667D" w14:paraId="6F39B9B7" w14:textId="77777777">
        <w:tc>
          <w:tcPr>
            <w:tcW w:w="800" w:type="dxa"/>
            <w:tcBorders>
              <w:top w:val="none" w:sz="0" w:space="0" w:color="FFFFFF"/>
              <w:left w:val="none" w:sz="0" w:space="0" w:color="FFFFFF"/>
              <w:bottom w:val="none" w:sz="0" w:space="0" w:color="FFFFFF"/>
              <w:right w:val="none" w:sz="0" w:space="0" w:color="FFFFFF"/>
            </w:tcBorders>
            <w:shd w:val="clear" w:color="auto" w:fill="1F3864"/>
            <w:tcMar>
              <w:top w:w="100" w:type="dxa"/>
              <w:left w:w="140" w:type="dxa"/>
              <w:bottom w:w="100" w:type="dxa"/>
              <w:right w:w="140" w:type="dxa"/>
            </w:tcMar>
            <w:vAlign w:val="center"/>
          </w:tcPr>
          <w:p w14:paraId="01C549CD" w14:textId="77777777" w:rsidR="00F0667D" w:rsidRDefault="00000000">
            <w:pPr>
              <w:jc w:val="center"/>
            </w:pPr>
            <w:r>
              <w:rPr>
                <w:b/>
                <w:bCs/>
                <w:color w:val="FFFFFF"/>
                <w:sz w:val="28"/>
                <w:szCs w:val="28"/>
              </w:rPr>
              <w:lastRenderedPageBreak/>
              <w:t>7</w:t>
            </w:r>
          </w:p>
        </w:tc>
        <w:tc>
          <w:tcPr>
            <w:tcW w:w="8560" w:type="dxa"/>
            <w:tcBorders>
              <w:top w:val="none" w:sz="0" w:space="0" w:color="FFFFFF"/>
              <w:left w:val="none" w:sz="0" w:space="0" w:color="FFFFFF"/>
              <w:bottom w:val="none" w:sz="0" w:space="0" w:color="FFFFFF"/>
              <w:right w:val="none" w:sz="0" w:space="0" w:color="FFFFFF"/>
            </w:tcBorders>
            <w:shd w:val="clear" w:color="auto" w:fill="2E5496"/>
            <w:tcMar>
              <w:top w:w="100" w:type="dxa"/>
              <w:left w:w="200" w:type="dxa"/>
              <w:bottom w:w="100" w:type="dxa"/>
              <w:right w:w="140" w:type="dxa"/>
            </w:tcMar>
          </w:tcPr>
          <w:p w14:paraId="08ACFB84" w14:textId="77777777" w:rsidR="00F0667D" w:rsidRDefault="00000000">
            <w:r>
              <w:rPr>
                <w:b/>
                <w:bCs/>
                <w:color w:val="FFFFFF"/>
                <w:sz w:val="24"/>
                <w:szCs w:val="24"/>
              </w:rPr>
              <w:t>Piecemeal Development Will Destroy Neighbourhood Cohesion and Depress Property Values</w:t>
            </w:r>
          </w:p>
        </w:tc>
      </w:tr>
    </w:tbl>
    <w:p w14:paraId="14968C3F" w14:textId="77777777" w:rsidR="00F0667D" w:rsidRDefault="00F0667D">
      <w:pPr>
        <w:spacing w:before="100"/>
      </w:pPr>
    </w:p>
    <w:p w14:paraId="6E8F114B" w14:textId="77777777" w:rsidR="00F0667D" w:rsidRDefault="00000000">
      <w:pPr>
        <w:spacing w:before="80" w:after="80"/>
      </w:pPr>
      <w:r>
        <w:rPr>
          <w:color w:val="222222"/>
        </w:rPr>
        <w:t>The EIE's key sites provisions allow individual lots to access incentive height and FSR controls by delivering specified public open space, road widenings and through-site links. However, there is no requirement for coordinated, sequenced development across the broader precinct. Sites not identified as key sites may be developed individually, at whatever time market conditions permit, with no guarantee of cohesive built form or concurrent infrastructure delivery.</w:t>
      </w:r>
    </w:p>
    <w:p w14:paraId="0197643C" w14:textId="77777777" w:rsidR="00F0667D" w:rsidRDefault="00000000">
      <w:pPr>
        <w:spacing w:before="80" w:after="80"/>
      </w:pPr>
      <w:r>
        <w:rPr>
          <w:color w:val="222222"/>
        </w:rPr>
        <w:t>Residents of the streets listed in this submission have invested substantially in renovating and improving their homes — in some cases spending hundreds of thousands of dollars — in a neighbourhood that was, at the time of those investments, zoned for low-to-medium density residential use. This rezoning represents a fundamental and retrospective change to the planning context in which those investment decisions were made.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0667D" w14:paraId="38573285" w14:textId="77777777">
        <w:tc>
          <w:tcPr>
            <w:tcW w:w="9360" w:type="dxa"/>
            <w:tcBorders>
              <w:top w:val="single" w:sz="1" w:space="0" w:color="CCCCCC"/>
              <w:left w:val="single" w:sz="1" w:space="0" w:color="CCCCCC"/>
              <w:bottom w:val="single" w:sz="1" w:space="0" w:color="CCCCCC"/>
              <w:right w:val="single" w:sz="1" w:space="0" w:color="CCCCCC"/>
            </w:tcBorders>
            <w:shd w:val="clear" w:color="auto" w:fill="FDECEA"/>
            <w:tcMar>
              <w:top w:w="120" w:type="dxa"/>
              <w:left w:w="180" w:type="dxa"/>
              <w:bottom w:w="120" w:type="dxa"/>
              <w:right w:w="180" w:type="dxa"/>
            </w:tcMar>
          </w:tcPr>
          <w:p w14:paraId="27ECFA2F" w14:textId="77777777" w:rsidR="00F0667D" w:rsidRDefault="00000000">
            <w:pPr>
              <w:spacing w:before="60" w:after="60"/>
            </w:pPr>
            <w:r>
              <w:rPr>
                <w:b/>
                <w:bCs/>
                <w:color w:val="C00000"/>
              </w:rPr>
              <w:t>Critical Concern</w:t>
            </w:r>
          </w:p>
          <w:p w14:paraId="4946B33E" w14:textId="77777777" w:rsidR="00F0667D" w:rsidRDefault="00000000">
            <w:pPr>
              <w:spacing w:before="60" w:after="60"/>
            </w:pPr>
            <w:r>
              <w:rPr>
                <w:color w:val="333333"/>
              </w:rPr>
              <w:t>Without coordinated development controls, a resident may wake up to find a demolition crew on the adjacent lot, construction commencing on a 15-storey building with no guarantee that promised open space or community infrastructure will ever be delivered — and no recourse.</w:t>
            </w:r>
          </w:p>
        </w:tc>
      </w:tr>
    </w:tbl>
    <w:p w14:paraId="0439E426" w14:textId="77777777" w:rsidR="00F0667D" w:rsidRDefault="00F0667D">
      <w:pPr>
        <w:spacing w:before="80"/>
      </w:pPr>
    </w:p>
    <w:p w14:paraId="3BF23263" w14:textId="6831276D" w:rsidR="00F0667D" w:rsidRDefault="00000000">
      <w:pPr>
        <w:spacing w:before="80" w:after="80"/>
      </w:pPr>
      <w:r>
        <w:rPr>
          <w:color w:val="222222"/>
        </w:rPr>
        <w:t xml:space="preserve">Demand: A binding Precinct Development Sequencing Plan must be introduced, requiring minimum site amalgamation thresholds, coordinated staging of development, and concurrent delivery of open space and community infrastructure. Independent design review must be mandatory for all developments above </w:t>
      </w:r>
      <w:r w:rsidR="00777FE4">
        <w:rPr>
          <w:color w:val="222222"/>
        </w:rPr>
        <w:t>4</w:t>
      </w:r>
      <w:r>
        <w:rPr>
          <w:color w:val="222222"/>
        </w:rPr>
        <w:t xml:space="preserve"> storeys.</w:t>
      </w:r>
    </w:p>
    <w:p w14:paraId="5583DCBA" w14:textId="77777777" w:rsidR="00F0667D" w:rsidRDefault="00F0667D">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F0667D" w14:paraId="3153A488" w14:textId="77777777">
        <w:tc>
          <w:tcPr>
            <w:tcW w:w="800" w:type="dxa"/>
            <w:tcBorders>
              <w:top w:val="none" w:sz="0" w:space="0" w:color="FFFFFF"/>
              <w:left w:val="none" w:sz="0" w:space="0" w:color="FFFFFF"/>
              <w:bottom w:val="none" w:sz="0" w:space="0" w:color="FFFFFF"/>
              <w:right w:val="none" w:sz="0" w:space="0" w:color="FFFFFF"/>
            </w:tcBorders>
            <w:shd w:val="clear" w:color="auto" w:fill="1F3864"/>
            <w:tcMar>
              <w:top w:w="100" w:type="dxa"/>
              <w:left w:w="140" w:type="dxa"/>
              <w:bottom w:w="100" w:type="dxa"/>
              <w:right w:w="140" w:type="dxa"/>
            </w:tcMar>
            <w:vAlign w:val="center"/>
          </w:tcPr>
          <w:p w14:paraId="3EB7A077" w14:textId="77777777" w:rsidR="00F0667D" w:rsidRDefault="00000000">
            <w:pPr>
              <w:jc w:val="center"/>
            </w:pPr>
            <w:r>
              <w:rPr>
                <w:b/>
                <w:bCs/>
                <w:color w:val="FFFFFF"/>
                <w:sz w:val="28"/>
                <w:szCs w:val="28"/>
              </w:rPr>
              <w:t>8</w:t>
            </w:r>
          </w:p>
        </w:tc>
        <w:tc>
          <w:tcPr>
            <w:tcW w:w="8560" w:type="dxa"/>
            <w:tcBorders>
              <w:top w:val="none" w:sz="0" w:space="0" w:color="FFFFFF"/>
              <w:left w:val="none" w:sz="0" w:space="0" w:color="FFFFFF"/>
              <w:bottom w:val="none" w:sz="0" w:space="0" w:color="FFFFFF"/>
              <w:right w:val="none" w:sz="0" w:space="0" w:color="FFFFFF"/>
            </w:tcBorders>
            <w:shd w:val="clear" w:color="auto" w:fill="2E5496"/>
            <w:tcMar>
              <w:top w:w="100" w:type="dxa"/>
              <w:left w:w="200" w:type="dxa"/>
              <w:bottom w:w="100" w:type="dxa"/>
              <w:right w:w="140" w:type="dxa"/>
            </w:tcMar>
          </w:tcPr>
          <w:p w14:paraId="2593C75B" w14:textId="77777777" w:rsidR="00F0667D" w:rsidRDefault="00000000">
            <w:r>
              <w:rPr>
                <w:b/>
                <w:bCs/>
                <w:color w:val="FFFFFF"/>
                <w:sz w:val="24"/>
                <w:szCs w:val="24"/>
              </w:rPr>
              <w:t>Developer Land Banking Must Be Actively Prevented</w:t>
            </w:r>
          </w:p>
        </w:tc>
      </w:tr>
    </w:tbl>
    <w:p w14:paraId="70DBD144" w14:textId="77777777" w:rsidR="00F0667D" w:rsidRDefault="00F0667D">
      <w:pPr>
        <w:spacing w:before="100"/>
      </w:pPr>
    </w:p>
    <w:p w14:paraId="3BF81211" w14:textId="77777777" w:rsidR="00F0667D" w:rsidRDefault="00000000">
      <w:pPr>
        <w:spacing w:before="80" w:after="80"/>
      </w:pPr>
      <w:r>
        <w:rPr>
          <w:color w:val="222222"/>
        </w:rPr>
        <w:t>Rezoning creates immediate, substantial windfall value for landowners and developers. Once this EIE is finalised, sites across the Precinct will be acquired by developers at prices reflecting the new, uplifted zoning — and then held speculatively until market conditions optimise returns. The EIE contains no mechanism to prevent this.</w:t>
      </w:r>
    </w:p>
    <w:p w14:paraId="36D9F376" w14:textId="77777777" w:rsidR="00F0667D" w:rsidRDefault="00000000">
      <w:pPr>
        <w:spacing w:before="80" w:after="80"/>
      </w:pPr>
      <w:r>
        <w:rPr>
          <w:color w:val="222222"/>
        </w:rPr>
        <w:t xml:space="preserve">The EIE relies on incentive density controls — developers receive higher FSR and </w:t>
      </w:r>
      <w:proofErr w:type="spellStart"/>
      <w:r>
        <w:rPr>
          <w:color w:val="222222"/>
        </w:rPr>
        <w:t>HoB</w:t>
      </w:r>
      <w:proofErr w:type="spellEnd"/>
      <w:r>
        <w:rPr>
          <w:color w:val="222222"/>
        </w:rPr>
        <w:t xml:space="preserve"> allowances in exchange for delivering infrastructure. But this mechanism only works when developers want to build. When market conditions are unfavourable, incentives are irrelevant. Land banking produces empty lots, deferred infrastructure, neighbourhood blight, and prolonged uncertainty for existing residents.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0667D" w14:paraId="44C7FAFC" w14:textId="77777777">
        <w:tc>
          <w:tcPr>
            <w:tcW w:w="9360" w:type="dxa"/>
            <w:tcBorders>
              <w:top w:val="single" w:sz="1" w:space="0" w:color="CCCCCC"/>
              <w:left w:val="single" w:sz="1" w:space="0" w:color="CCCCCC"/>
              <w:bottom w:val="single" w:sz="1" w:space="0" w:color="CCCCCC"/>
              <w:right w:val="single" w:sz="1" w:space="0" w:color="CCCCCC"/>
            </w:tcBorders>
            <w:shd w:val="clear" w:color="auto" w:fill="D6E4F0"/>
            <w:tcMar>
              <w:top w:w="140" w:type="dxa"/>
              <w:left w:w="200" w:type="dxa"/>
              <w:bottom w:w="140" w:type="dxa"/>
              <w:right w:w="200" w:type="dxa"/>
            </w:tcMar>
          </w:tcPr>
          <w:p w14:paraId="625DD52D" w14:textId="77777777" w:rsidR="00F0667D" w:rsidRDefault="00000000">
            <w:pPr>
              <w:spacing w:before="60" w:after="60"/>
            </w:pPr>
            <w:r>
              <w:rPr>
                <w:color w:val="1F3864"/>
              </w:rPr>
              <w:t>The EIE itself acknowledges (Section 3.5) that key site and infrastructure requirements are 'yet to be confirmed'. This uncertainty creates an ideal environment for speculative land acquisition and holding — the very outcome residents most fear.</w:t>
            </w:r>
          </w:p>
        </w:tc>
      </w:tr>
    </w:tbl>
    <w:p w14:paraId="46F47501" w14:textId="77777777" w:rsidR="00F0667D" w:rsidRDefault="00F0667D">
      <w:pPr>
        <w:spacing w:before="80"/>
      </w:pPr>
    </w:p>
    <w:p w14:paraId="2B3990F0" w14:textId="77777777" w:rsidR="00F0667D" w:rsidRDefault="00000000">
      <w:pPr>
        <w:spacing w:before="80" w:after="80"/>
      </w:pPr>
      <w:r>
        <w:rPr>
          <w:color w:val="222222"/>
        </w:rPr>
        <w:t>Demand: Time-limited development commencement conditions must be introduced for all rezoned sites, with penalties for non-commencement. A publicly accessible development register must be maintained for all lots within the Precinct. The Department must commit to proactive land acquisition powers for key community infrastructure sites to prevent them being held or consolidated by private interests.</w:t>
      </w:r>
    </w:p>
    <w:p w14:paraId="5A7A1E67" w14:textId="77777777" w:rsidR="00F0667D" w:rsidRDefault="00F0667D">
      <w:pPr>
        <w:spacing w:before="100"/>
      </w:pPr>
    </w:p>
    <w:p w14:paraId="7BD4E3B1" w14:textId="77777777" w:rsidR="00777FE4" w:rsidRDefault="00777FE4">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F0667D" w14:paraId="1DB361A4" w14:textId="77777777">
        <w:tc>
          <w:tcPr>
            <w:tcW w:w="800" w:type="dxa"/>
            <w:tcBorders>
              <w:top w:val="none" w:sz="0" w:space="0" w:color="FFFFFF"/>
              <w:left w:val="none" w:sz="0" w:space="0" w:color="FFFFFF"/>
              <w:bottom w:val="none" w:sz="0" w:space="0" w:color="FFFFFF"/>
              <w:right w:val="none" w:sz="0" w:space="0" w:color="FFFFFF"/>
            </w:tcBorders>
            <w:shd w:val="clear" w:color="auto" w:fill="1F3864"/>
            <w:tcMar>
              <w:top w:w="100" w:type="dxa"/>
              <w:left w:w="140" w:type="dxa"/>
              <w:bottom w:w="100" w:type="dxa"/>
              <w:right w:w="140" w:type="dxa"/>
            </w:tcMar>
            <w:vAlign w:val="center"/>
          </w:tcPr>
          <w:p w14:paraId="19ED3FBE" w14:textId="77777777" w:rsidR="00F0667D" w:rsidRDefault="00000000">
            <w:pPr>
              <w:jc w:val="center"/>
            </w:pPr>
            <w:r>
              <w:rPr>
                <w:b/>
                <w:bCs/>
                <w:color w:val="FFFFFF"/>
                <w:sz w:val="28"/>
                <w:szCs w:val="28"/>
              </w:rPr>
              <w:lastRenderedPageBreak/>
              <w:t>9</w:t>
            </w:r>
          </w:p>
        </w:tc>
        <w:tc>
          <w:tcPr>
            <w:tcW w:w="8560" w:type="dxa"/>
            <w:tcBorders>
              <w:top w:val="none" w:sz="0" w:space="0" w:color="FFFFFF"/>
              <w:left w:val="none" w:sz="0" w:space="0" w:color="FFFFFF"/>
              <w:bottom w:val="none" w:sz="0" w:space="0" w:color="FFFFFF"/>
              <w:right w:val="none" w:sz="0" w:space="0" w:color="FFFFFF"/>
            </w:tcBorders>
            <w:shd w:val="clear" w:color="auto" w:fill="2E5496"/>
            <w:tcMar>
              <w:top w:w="100" w:type="dxa"/>
              <w:left w:w="200" w:type="dxa"/>
              <w:bottom w:w="100" w:type="dxa"/>
              <w:right w:w="140" w:type="dxa"/>
            </w:tcMar>
          </w:tcPr>
          <w:p w14:paraId="3DB32C32" w14:textId="77777777" w:rsidR="00F0667D" w:rsidRDefault="00000000">
            <w:r>
              <w:rPr>
                <w:b/>
                <w:bCs/>
                <w:color w:val="FFFFFF"/>
                <w:sz w:val="24"/>
                <w:szCs w:val="24"/>
              </w:rPr>
              <w:t>The Design Guide — the Primary Urban Design Safeguard — Is Not Yet Available for Review</w:t>
            </w:r>
          </w:p>
        </w:tc>
      </w:tr>
    </w:tbl>
    <w:p w14:paraId="05B5A480" w14:textId="77777777" w:rsidR="00F0667D" w:rsidRDefault="00F0667D">
      <w:pPr>
        <w:spacing w:before="100"/>
      </w:pPr>
    </w:p>
    <w:p w14:paraId="247486C3" w14:textId="77777777" w:rsidR="00F0667D" w:rsidRDefault="00000000">
      <w:pPr>
        <w:spacing w:before="80" w:after="80"/>
      </w:pPr>
      <w:r>
        <w:rPr>
          <w:color w:val="222222"/>
        </w:rPr>
        <w:t>Section 3.12 of the EIE states that the Design Guide 'will be prepared in consultation with both Councils following public exhibition of the EIE' and published as part of the finalisation of the rezoning. This means the single most important document governing built form quality — covering building separation, solar access, setbacks, landscaping ratios, street wall heights, podium design and heritage transitions — will be drafted after the community's opportunity to comment has closed.</w:t>
      </w:r>
    </w:p>
    <w:p w14:paraId="2562AC86" w14:textId="77777777" w:rsidR="00F0667D" w:rsidRDefault="00000000">
      <w:pPr>
        <w:spacing w:before="80" w:after="80"/>
      </w:pPr>
      <w:r>
        <w:rPr>
          <w:color w:val="222222"/>
        </w:rPr>
        <w:t xml:space="preserve">Height and FSR numbers on a map tell residents almost nothing about what their neighbourhood will </w:t>
      </w:r>
      <w:proofErr w:type="gramStart"/>
      <w:r>
        <w:rPr>
          <w:color w:val="222222"/>
        </w:rPr>
        <w:t>actually look</w:t>
      </w:r>
      <w:proofErr w:type="gramEnd"/>
      <w:r>
        <w:rPr>
          <w:color w:val="222222"/>
        </w:rPr>
        <w:t xml:space="preserve"> and feel like. A 28-metre building on a 6-metre-wide lot with no setback and no landscaping is a fundamentally different outcome from a 28-metre building set back 6 metres from the street with deep soil planting and active ground floor uses. Without the Design Guide, this submission — and every other community submission — is being made in the dark.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0667D" w14:paraId="37DCA875" w14:textId="77777777">
        <w:tc>
          <w:tcPr>
            <w:tcW w:w="9360" w:type="dxa"/>
            <w:tcBorders>
              <w:top w:val="single" w:sz="1" w:space="0" w:color="CCCCCC"/>
              <w:left w:val="single" w:sz="1" w:space="0" w:color="CCCCCC"/>
              <w:bottom w:val="single" w:sz="1" w:space="0" w:color="CCCCCC"/>
              <w:right w:val="single" w:sz="1" w:space="0" w:color="CCCCCC"/>
            </w:tcBorders>
            <w:shd w:val="clear" w:color="auto" w:fill="FDECEA"/>
            <w:tcMar>
              <w:top w:w="120" w:type="dxa"/>
              <w:left w:w="180" w:type="dxa"/>
              <w:bottom w:w="120" w:type="dxa"/>
              <w:right w:w="180" w:type="dxa"/>
            </w:tcMar>
          </w:tcPr>
          <w:p w14:paraId="558167AC" w14:textId="77777777" w:rsidR="00F0667D" w:rsidRDefault="00000000">
            <w:pPr>
              <w:spacing w:before="60" w:after="60"/>
            </w:pPr>
            <w:r>
              <w:rPr>
                <w:b/>
                <w:bCs/>
                <w:color w:val="C00000"/>
              </w:rPr>
              <w:t>Critical Concern</w:t>
            </w:r>
          </w:p>
          <w:p w14:paraId="607306E7" w14:textId="77777777" w:rsidR="00F0667D" w:rsidRDefault="00000000">
            <w:pPr>
              <w:spacing w:before="60" w:after="60"/>
            </w:pPr>
            <w:r>
              <w:rPr>
                <w:color w:val="333333"/>
              </w:rPr>
              <w:t>The community is being asked to endorse height and density controls without being able to assess the urban design standards that will determine whether those heights produce liveable, high-quality outcomes or destructive, amenity-destroying ones.</w:t>
            </w:r>
          </w:p>
        </w:tc>
      </w:tr>
    </w:tbl>
    <w:p w14:paraId="2737507F" w14:textId="77777777" w:rsidR="00F0667D" w:rsidRDefault="00F0667D">
      <w:pPr>
        <w:spacing w:before="80"/>
      </w:pPr>
    </w:p>
    <w:p w14:paraId="1017D043" w14:textId="77777777" w:rsidR="00F0667D" w:rsidRDefault="00000000">
      <w:pPr>
        <w:spacing w:before="80" w:after="80"/>
      </w:pPr>
      <w:r>
        <w:rPr>
          <w:color w:val="222222"/>
        </w:rPr>
        <w:t>Demand: The rezoning must not be finalised until a draft Design Guide has been publicly exhibited with a minimum 60-day comment period. The Design Guide must include mandatory, enforceable controls — not guidelines — for building separation, solar access, deep soil landscaping, street wall heights, setbacks from residential zones, and heritage transition zones.</w:t>
      </w:r>
    </w:p>
    <w:p w14:paraId="7C9D4FAF" w14:textId="77777777" w:rsidR="00F0667D" w:rsidRDefault="00F0667D">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F0667D" w14:paraId="6BC4BD9F" w14:textId="77777777">
        <w:tc>
          <w:tcPr>
            <w:tcW w:w="800" w:type="dxa"/>
            <w:tcBorders>
              <w:top w:val="none" w:sz="0" w:space="0" w:color="FFFFFF"/>
              <w:left w:val="none" w:sz="0" w:space="0" w:color="FFFFFF"/>
              <w:bottom w:val="none" w:sz="0" w:space="0" w:color="FFFFFF"/>
              <w:right w:val="none" w:sz="0" w:space="0" w:color="FFFFFF"/>
            </w:tcBorders>
            <w:shd w:val="clear" w:color="auto" w:fill="1F3864"/>
            <w:tcMar>
              <w:top w:w="100" w:type="dxa"/>
              <w:left w:w="140" w:type="dxa"/>
              <w:bottom w:w="100" w:type="dxa"/>
              <w:right w:w="140" w:type="dxa"/>
            </w:tcMar>
            <w:vAlign w:val="center"/>
          </w:tcPr>
          <w:p w14:paraId="3A06F95D" w14:textId="77777777" w:rsidR="00F0667D" w:rsidRDefault="00000000">
            <w:pPr>
              <w:jc w:val="center"/>
            </w:pPr>
            <w:r>
              <w:rPr>
                <w:b/>
                <w:bCs/>
                <w:color w:val="FFFFFF"/>
                <w:sz w:val="28"/>
                <w:szCs w:val="28"/>
              </w:rPr>
              <w:t>10</w:t>
            </w:r>
          </w:p>
        </w:tc>
        <w:tc>
          <w:tcPr>
            <w:tcW w:w="8560" w:type="dxa"/>
            <w:tcBorders>
              <w:top w:val="none" w:sz="0" w:space="0" w:color="FFFFFF"/>
              <w:left w:val="none" w:sz="0" w:space="0" w:color="FFFFFF"/>
              <w:bottom w:val="none" w:sz="0" w:space="0" w:color="FFFFFF"/>
              <w:right w:val="none" w:sz="0" w:space="0" w:color="FFFFFF"/>
            </w:tcBorders>
            <w:shd w:val="clear" w:color="auto" w:fill="2E5496"/>
            <w:tcMar>
              <w:top w:w="100" w:type="dxa"/>
              <w:left w:w="200" w:type="dxa"/>
              <w:bottom w:w="100" w:type="dxa"/>
              <w:right w:w="140" w:type="dxa"/>
            </w:tcMar>
          </w:tcPr>
          <w:p w14:paraId="38994A50" w14:textId="77777777" w:rsidR="00F0667D" w:rsidRDefault="00000000">
            <w:r>
              <w:rPr>
                <w:b/>
                <w:bCs/>
                <w:color w:val="FFFFFF"/>
                <w:sz w:val="24"/>
                <w:szCs w:val="24"/>
              </w:rPr>
              <w:t>The Consultation Period Is Wholly Inadequate — Extension Is Essential</w:t>
            </w:r>
          </w:p>
        </w:tc>
      </w:tr>
    </w:tbl>
    <w:p w14:paraId="75AB5F70" w14:textId="77777777" w:rsidR="00F0667D" w:rsidRDefault="00F0667D">
      <w:pPr>
        <w:spacing w:before="100"/>
      </w:pPr>
    </w:p>
    <w:p w14:paraId="4A79546E" w14:textId="77777777" w:rsidR="00F0667D" w:rsidRDefault="00000000">
      <w:pPr>
        <w:spacing w:before="80" w:after="80"/>
      </w:pPr>
      <w:r>
        <w:rPr>
          <w:color w:val="222222"/>
        </w:rPr>
        <w:t>This EIE proposes sweeping changes to planning controls affecting 113 hectares, two Local Government Areas, up to 18,300 new homes, multiple heritage items, a complex mix of zoning categories, and infrastructure systems including Sydney Metro West and Transport for NSW road widening proposals. At the time of exhibition, the following critical supporting documents are either unpublished, unfinished or unavailable for public review:</w:t>
      </w:r>
    </w:p>
    <w:p w14:paraId="2BA8ECD5" w14:textId="77777777" w:rsidR="00F0667D" w:rsidRDefault="00000000">
      <w:pPr>
        <w:pStyle w:val="ListParagraph"/>
        <w:numPr>
          <w:ilvl w:val="0"/>
          <w:numId w:val="2"/>
        </w:numPr>
        <w:spacing w:before="60" w:after="60"/>
        <w:ind w:hanging="300"/>
      </w:pPr>
      <w:r>
        <w:rPr>
          <w:color w:val="222222"/>
        </w:rPr>
        <w:t>The full Urban Design Report (COX Architecture 2026) — referenced but not publicly available</w:t>
      </w:r>
    </w:p>
    <w:p w14:paraId="0A927E4D" w14:textId="77777777" w:rsidR="00F0667D" w:rsidRDefault="00000000">
      <w:pPr>
        <w:pStyle w:val="ListParagraph"/>
        <w:numPr>
          <w:ilvl w:val="0"/>
          <w:numId w:val="2"/>
        </w:numPr>
        <w:spacing w:before="60" w:after="60"/>
        <w:ind w:hanging="300"/>
      </w:pPr>
      <w:r>
        <w:rPr>
          <w:color w:val="222222"/>
        </w:rPr>
        <w:t>The Design Guide — not yet prepared (see Point 9)</w:t>
      </w:r>
    </w:p>
    <w:p w14:paraId="3103F80F" w14:textId="77777777" w:rsidR="00F0667D" w:rsidRDefault="00000000">
      <w:pPr>
        <w:pStyle w:val="ListParagraph"/>
        <w:numPr>
          <w:ilvl w:val="0"/>
          <w:numId w:val="2"/>
        </w:numPr>
        <w:spacing w:before="60" w:after="60"/>
        <w:ind w:hanging="300"/>
      </w:pPr>
      <w:r>
        <w:rPr>
          <w:color w:val="222222"/>
        </w:rPr>
        <w:t>Updated Local Infrastructure Contributions Plans for both Burwood and Canada Bay Councils — not yet exhibited</w:t>
      </w:r>
    </w:p>
    <w:p w14:paraId="0050381C" w14:textId="77777777" w:rsidR="00F0667D" w:rsidRDefault="00000000">
      <w:pPr>
        <w:pStyle w:val="ListParagraph"/>
        <w:numPr>
          <w:ilvl w:val="0"/>
          <w:numId w:val="2"/>
        </w:numPr>
        <w:spacing w:before="60" w:after="60"/>
        <w:ind w:hanging="300"/>
      </w:pPr>
      <w:r>
        <w:rPr>
          <w:color w:val="222222"/>
        </w:rPr>
        <w:t>A traffic and infrastructure capacity assessment for residential streets beyond the Metro core — not provided</w:t>
      </w:r>
    </w:p>
    <w:p w14:paraId="208549CA" w14:textId="77777777" w:rsidR="00F0667D" w:rsidRDefault="00000000">
      <w:pPr>
        <w:pStyle w:val="ListParagraph"/>
        <w:numPr>
          <w:ilvl w:val="0"/>
          <w:numId w:val="2"/>
        </w:numPr>
        <w:spacing w:before="60" w:after="60"/>
        <w:ind w:hanging="300"/>
      </w:pPr>
      <w:r>
        <w:rPr>
          <w:color w:val="222222"/>
        </w:rPr>
        <w:t>Finalised key sites requirements — explicitly acknowledged as 'yet to be confirmed'</w:t>
      </w:r>
    </w:p>
    <w:p w14:paraId="346C8607" w14:textId="77777777" w:rsidR="00F0667D" w:rsidRDefault="00000000">
      <w:pPr>
        <w:pStyle w:val="ListParagraph"/>
        <w:numPr>
          <w:ilvl w:val="0"/>
          <w:numId w:val="2"/>
        </w:numPr>
        <w:spacing w:before="60" w:after="60"/>
        <w:ind w:hanging="300"/>
      </w:pPr>
      <w:r>
        <w:rPr>
          <w:color w:val="222222"/>
        </w:rPr>
        <w:t>A traffic and infrastructure capacity assessment for residential streets — not provided</w:t>
      </w:r>
    </w:p>
    <w:p w14:paraId="425E92E2" w14:textId="77777777" w:rsidR="00F0667D" w:rsidRDefault="00F0667D">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0667D" w14:paraId="28C26D76" w14:textId="77777777">
        <w:tc>
          <w:tcPr>
            <w:tcW w:w="9360" w:type="dxa"/>
            <w:tcBorders>
              <w:top w:val="single" w:sz="1" w:space="0" w:color="CCCCCC"/>
              <w:left w:val="single" w:sz="1" w:space="0" w:color="CCCCCC"/>
              <w:bottom w:val="single" w:sz="1" w:space="0" w:color="CCCCCC"/>
              <w:right w:val="single" w:sz="1" w:space="0" w:color="CCCCCC"/>
            </w:tcBorders>
            <w:shd w:val="clear" w:color="auto" w:fill="FDECEA"/>
            <w:tcMar>
              <w:top w:w="120" w:type="dxa"/>
              <w:left w:w="180" w:type="dxa"/>
              <w:bottom w:w="120" w:type="dxa"/>
              <w:right w:w="180" w:type="dxa"/>
            </w:tcMar>
          </w:tcPr>
          <w:p w14:paraId="4135C7DC" w14:textId="77777777" w:rsidR="00F0667D" w:rsidRDefault="00000000">
            <w:pPr>
              <w:spacing w:before="60" w:after="60"/>
            </w:pPr>
            <w:r>
              <w:rPr>
                <w:b/>
                <w:bCs/>
                <w:color w:val="C00000"/>
              </w:rPr>
              <w:t>Critical Concern</w:t>
            </w:r>
          </w:p>
          <w:p w14:paraId="47412201" w14:textId="77777777" w:rsidR="00F0667D" w:rsidRDefault="00000000">
            <w:pPr>
              <w:spacing w:before="60" w:after="60"/>
            </w:pPr>
            <w:r>
              <w:rPr>
                <w:color w:val="333333"/>
              </w:rPr>
              <w:t xml:space="preserve">A meaningful submission requires access to </w:t>
            </w:r>
            <w:proofErr w:type="gramStart"/>
            <w:r>
              <w:rPr>
                <w:color w:val="333333"/>
              </w:rPr>
              <w:t>all of</w:t>
            </w:r>
            <w:proofErr w:type="gramEnd"/>
            <w:r>
              <w:rPr>
                <w:color w:val="333333"/>
              </w:rPr>
              <w:t xml:space="preserve"> the above documents. The community cannot be expected to comment substantively on height and density controls without knowing what design standards, infrastructure commitments and traffic impacts will apply. </w:t>
            </w:r>
            <w:r>
              <w:rPr>
                <w:color w:val="333333"/>
              </w:rPr>
              <w:lastRenderedPageBreak/>
              <w:t>This consultation process, as currently structured, does not meet the standard of genuine community engagement.</w:t>
            </w:r>
          </w:p>
        </w:tc>
      </w:tr>
    </w:tbl>
    <w:p w14:paraId="45EE0D53" w14:textId="77777777" w:rsidR="00F0667D" w:rsidRDefault="00F0667D">
      <w:pPr>
        <w:spacing w:before="80"/>
      </w:pPr>
    </w:p>
    <w:p w14:paraId="5882119A" w14:textId="77777777" w:rsidR="00F0667D" w:rsidRDefault="00000000">
      <w:pPr>
        <w:spacing w:before="80" w:after="80"/>
      </w:pPr>
      <w:r>
        <w:rPr>
          <w:color w:val="222222"/>
        </w:rPr>
        <w:t>Demand: The exhibition period must be extended by a minimum of 60 days from the date all outstanding technical documents are published. Additional in-person community information sessions must be held specifically for residents of the streets listed in this submission. The Department must provide written responses to all substantive issues raised in community submissions.</w:t>
      </w:r>
    </w:p>
    <w:p w14:paraId="10EA22BB" w14:textId="77777777" w:rsidR="00F0667D" w:rsidRDefault="00F0667D">
      <w:pPr>
        <w:spacing w:before="100"/>
      </w:pPr>
    </w:p>
    <w:p w14:paraId="014314FD" w14:textId="77777777" w:rsidR="00F0667D" w:rsidRDefault="00F0667D">
      <w:pPr>
        <w:pBdr>
          <w:bottom w:val="single" w:sz="4" w:space="1" w:color="2E5496"/>
        </w:pBdr>
        <w:spacing w:before="200" w:after="200"/>
      </w:pPr>
    </w:p>
    <w:p w14:paraId="0588D21B" w14:textId="77777777" w:rsidR="00F0667D" w:rsidRDefault="00000000">
      <w:pPr>
        <w:spacing w:before="100" w:after="120"/>
      </w:pPr>
      <w:r>
        <w:rPr>
          <w:b/>
          <w:bCs/>
          <w:caps/>
          <w:color w:val="C00000"/>
          <w:sz w:val="28"/>
          <w:szCs w:val="28"/>
        </w:rPr>
        <w:t>COMMUNITY POSITION AND COMMITMENT TO ACTION</w:t>
      </w:r>
    </w:p>
    <w:p w14:paraId="6CF0FF05" w14:textId="77777777" w:rsidR="00F0667D" w:rsidRDefault="00F0667D">
      <w:pPr>
        <w:spacing w:before="60"/>
      </w:pPr>
    </w:p>
    <w:p w14:paraId="74744467" w14:textId="77777777" w:rsidR="00F0667D" w:rsidRDefault="00000000">
      <w:pPr>
        <w:spacing w:before="80" w:after="80"/>
      </w:pPr>
      <w:r>
        <w:rPr>
          <w:color w:val="222222"/>
        </w:rPr>
        <w:t xml:space="preserve">The residents of Park Ave, Coles St, Melbourne St, Alexandra St, Lloyd George St, Ada St, Daly Ave, John St and Franklyn St are not opposed to Sydney's housing needs. We understand the pressures of the housing crisis. We are, however, deeply opposed to the </w:t>
      </w:r>
      <w:proofErr w:type="gramStart"/>
      <w:r>
        <w:rPr>
          <w:color w:val="222222"/>
        </w:rPr>
        <w:t>manner in which</w:t>
      </w:r>
      <w:proofErr w:type="gramEnd"/>
      <w:r>
        <w:rPr>
          <w:color w:val="222222"/>
        </w:rPr>
        <w:t xml:space="preserve"> this rezoning has been designed — with excessive density imposed on streets that cannot support it, infrastructure delivery deferred indefinitely, community safeguards left to future documents, and a consultation process that is inadequate for the scale of change proposed.</w:t>
      </w:r>
    </w:p>
    <w:p w14:paraId="2B711F6D" w14:textId="77777777" w:rsidR="00F0667D" w:rsidRDefault="00000000">
      <w:pPr>
        <w:spacing w:before="80" w:after="100"/>
      </w:pPr>
      <w:r>
        <w:rPr>
          <w:color w:val="222222"/>
        </w:rPr>
        <w:t>This submission is one of many being lodged by residents of our streets as part of a coordinated community response. We have formed a community action group and are taking the following steps in parallel with this submission process:</w:t>
      </w:r>
    </w:p>
    <w:p w14:paraId="2DCF63C1" w14:textId="77777777" w:rsidR="00F0667D" w:rsidRDefault="00000000">
      <w:pPr>
        <w:pStyle w:val="ListParagraph"/>
        <w:numPr>
          <w:ilvl w:val="0"/>
          <w:numId w:val="2"/>
        </w:numPr>
        <w:spacing w:before="60" w:after="60"/>
        <w:ind w:hanging="300"/>
      </w:pPr>
      <w:r>
        <w:rPr>
          <w:color w:val="222222"/>
        </w:rPr>
        <w:t>Engaging with our local State Members of Parliament to raise these concerns in the NSW Legislative Assembly</w:t>
      </w:r>
    </w:p>
    <w:p w14:paraId="08329DB6" w14:textId="77777777" w:rsidR="00F0667D" w:rsidRDefault="00000000">
      <w:pPr>
        <w:pStyle w:val="ListParagraph"/>
        <w:numPr>
          <w:ilvl w:val="0"/>
          <w:numId w:val="2"/>
        </w:numPr>
        <w:spacing w:before="60" w:after="60"/>
        <w:ind w:hanging="300"/>
      </w:pPr>
      <w:r>
        <w:rPr>
          <w:color w:val="222222"/>
        </w:rPr>
        <w:t>Seeking independent planning and legal advice on the merits of this proposal</w:t>
      </w:r>
    </w:p>
    <w:p w14:paraId="18D9043E" w14:textId="77777777" w:rsidR="00F0667D" w:rsidRDefault="00000000">
      <w:pPr>
        <w:pStyle w:val="ListParagraph"/>
        <w:numPr>
          <w:ilvl w:val="0"/>
          <w:numId w:val="2"/>
        </w:numPr>
        <w:spacing w:before="60" w:after="60"/>
        <w:ind w:hanging="300"/>
      </w:pPr>
      <w:r>
        <w:rPr>
          <w:color w:val="222222"/>
        </w:rPr>
        <w:t>Preparing a coordinated media strategy to ensure public awareness of community concerns</w:t>
      </w:r>
    </w:p>
    <w:p w14:paraId="5884900B" w14:textId="77777777" w:rsidR="00F0667D" w:rsidRDefault="00000000">
      <w:pPr>
        <w:pStyle w:val="ListParagraph"/>
        <w:numPr>
          <w:ilvl w:val="0"/>
          <w:numId w:val="2"/>
        </w:numPr>
        <w:spacing w:before="60" w:after="60"/>
        <w:ind w:hanging="300"/>
      </w:pPr>
      <w:r>
        <w:rPr>
          <w:color w:val="222222"/>
        </w:rPr>
        <w:t>Preparing to participate in any parliamentary committee or public inquiry process</w:t>
      </w:r>
    </w:p>
    <w:p w14:paraId="7096E7CF" w14:textId="77777777" w:rsidR="00F0667D" w:rsidRDefault="00000000">
      <w:pPr>
        <w:pStyle w:val="ListParagraph"/>
        <w:numPr>
          <w:ilvl w:val="0"/>
          <w:numId w:val="2"/>
        </w:numPr>
        <w:spacing w:before="60" w:after="60"/>
        <w:ind w:hanging="300"/>
      </w:pPr>
      <w:r>
        <w:rPr>
          <w:color w:val="222222"/>
        </w:rPr>
        <w:t>Documenting all communications with the Department for future legal reference</w:t>
      </w:r>
    </w:p>
    <w:p w14:paraId="6847ED07" w14:textId="77777777" w:rsidR="00F0667D" w:rsidRDefault="00F0667D">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0667D" w14:paraId="470C0960" w14:textId="77777777">
        <w:tc>
          <w:tcPr>
            <w:tcW w:w="9360" w:type="dxa"/>
            <w:tcBorders>
              <w:top w:val="single" w:sz="6" w:space="0" w:color="C00000"/>
              <w:left w:val="none" w:sz="0" w:space="0" w:color="FFFFFF"/>
              <w:bottom w:val="single" w:sz="6" w:space="0" w:color="C00000"/>
              <w:right w:val="none" w:sz="0" w:space="0" w:color="FFFFFF"/>
            </w:tcBorders>
            <w:shd w:val="clear" w:color="auto" w:fill="FFF8F8"/>
            <w:tcMar>
              <w:top w:w="160" w:type="dxa"/>
              <w:left w:w="200" w:type="dxa"/>
              <w:bottom w:w="160" w:type="dxa"/>
              <w:right w:w="200" w:type="dxa"/>
            </w:tcMar>
          </w:tcPr>
          <w:p w14:paraId="2A5D1710" w14:textId="77777777" w:rsidR="00F0667D" w:rsidRDefault="00000000">
            <w:pPr>
              <w:spacing w:before="60" w:after="60"/>
            </w:pPr>
            <w:r>
              <w:rPr>
                <w:b/>
                <w:bCs/>
                <w:color w:val="1F3864"/>
                <w:sz w:val="24"/>
                <w:szCs w:val="24"/>
              </w:rPr>
              <w:t>Our collective demands are clear:</w:t>
            </w:r>
          </w:p>
          <w:p w14:paraId="504A7B68" w14:textId="17E97D60" w:rsidR="00F0667D" w:rsidRDefault="00000000">
            <w:pPr>
              <w:pStyle w:val="ListParagraph"/>
              <w:numPr>
                <w:ilvl w:val="0"/>
                <w:numId w:val="2"/>
              </w:numPr>
              <w:spacing w:before="60" w:after="40"/>
            </w:pPr>
            <w:r>
              <w:rPr>
                <w:color w:val="333333"/>
              </w:rPr>
              <w:t xml:space="preserve">Reduce building heights in residential streets to a maximum of </w:t>
            </w:r>
            <w:r w:rsidR="00777FE4">
              <w:rPr>
                <w:color w:val="333333"/>
              </w:rPr>
              <w:t>4</w:t>
            </w:r>
            <w:r>
              <w:rPr>
                <w:color w:val="333333"/>
              </w:rPr>
              <w:t xml:space="preserve"> storeys / 22 metres, with a genuine, graduated transition from the Metro station</w:t>
            </w:r>
          </w:p>
          <w:p w14:paraId="546D2045" w14:textId="77777777" w:rsidR="00F0667D" w:rsidRDefault="00000000">
            <w:pPr>
              <w:pStyle w:val="ListParagraph"/>
              <w:numPr>
                <w:ilvl w:val="0"/>
                <w:numId w:val="2"/>
              </w:numPr>
              <w:spacing w:before="40" w:after="40"/>
            </w:pPr>
            <w:r>
              <w:rPr>
                <w:color w:val="333333"/>
              </w:rPr>
              <w:t>Guarantee binding delivery of schools, health facilities, childcare, open space and community services before population growth is realised</w:t>
            </w:r>
          </w:p>
          <w:p w14:paraId="797BC896" w14:textId="77777777" w:rsidR="00F0667D" w:rsidRDefault="00000000">
            <w:pPr>
              <w:pStyle w:val="ListParagraph"/>
              <w:numPr>
                <w:ilvl w:val="0"/>
                <w:numId w:val="2"/>
              </w:numPr>
              <w:spacing w:before="40" w:after="40"/>
            </w:pPr>
            <w:r>
              <w:rPr>
                <w:color w:val="333333"/>
              </w:rPr>
              <w:t>Publish all outstanding technical documents and extend the exhibition period by a minimum of 60 days</w:t>
            </w:r>
          </w:p>
          <w:p w14:paraId="1CCB1450" w14:textId="77777777" w:rsidR="00F0667D" w:rsidRDefault="00000000">
            <w:pPr>
              <w:pStyle w:val="ListParagraph"/>
              <w:numPr>
                <w:ilvl w:val="0"/>
                <w:numId w:val="2"/>
              </w:numPr>
              <w:spacing w:before="40" w:after="40"/>
            </w:pPr>
            <w:r>
              <w:rPr>
                <w:color w:val="333333"/>
              </w:rPr>
              <w:t>Introduce binding controls to prevent developer land banking, with mandatory development commencement timeframes</w:t>
            </w:r>
          </w:p>
          <w:p w14:paraId="35D6F13E" w14:textId="77777777" w:rsidR="00F0667D" w:rsidRDefault="00000000">
            <w:pPr>
              <w:pStyle w:val="ListParagraph"/>
              <w:numPr>
                <w:ilvl w:val="0"/>
                <w:numId w:val="2"/>
              </w:numPr>
              <w:spacing w:before="40" w:after="40"/>
            </w:pPr>
            <w:r>
              <w:rPr>
                <w:color w:val="333333"/>
              </w:rPr>
              <w:t>Adopt a staged rezoning approach, beginning with Metro-adjacent sites only, with binding community review before each subsequent stage</w:t>
            </w:r>
          </w:p>
          <w:p w14:paraId="11F1A980" w14:textId="77777777" w:rsidR="00F0667D" w:rsidRDefault="00000000">
            <w:pPr>
              <w:pStyle w:val="ListParagraph"/>
              <w:numPr>
                <w:ilvl w:val="0"/>
                <w:numId w:val="2"/>
              </w:numPr>
              <w:spacing w:before="40" w:after="40"/>
            </w:pPr>
            <w:r>
              <w:rPr>
                <w:color w:val="333333"/>
              </w:rPr>
              <w:t>Require the Design Guide to be publicly exhibited before the rezoning is finalised</w:t>
            </w:r>
          </w:p>
          <w:p w14:paraId="2B91DA60" w14:textId="77777777" w:rsidR="00777FE4" w:rsidRPr="00777FE4" w:rsidRDefault="00000000" w:rsidP="00777FE4">
            <w:pPr>
              <w:pStyle w:val="ListParagraph"/>
              <w:numPr>
                <w:ilvl w:val="0"/>
                <w:numId w:val="2"/>
              </w:numPr>
              <w:spacing w:before="40" w:after="60"/>
            </w:pPr>
            <w:r>
              <w:rPr>
                <w:color w:val="333333"/>
              </w:rPr>
              <w:t>Commission and publish independent traffic, geotechnical and infrastructure capacity assessments for the affected residential streets</w:t>
            </w:r>
          </w:p>
          <w:p w14:paraId="7F003C08" w14:textId="198D9ABA" w:rsidR="00777FE4" w:rsidRDefault="00392432">
            <w:pPr>
              <w:pStyle w:val="ListParagraph"/>
              <w:numPr>
                <w:ilvl w:val="0"/>
                <w:numId w:val="2"/>
              </w:numPr>
              <w:spacing w:before="40" w:after="60"/>
            </w:pPr>
            <w:r>
              <w:t xml:space="preserve">Remove Park Avenue, Coles Street, Melbourne Street, Alexandra Street, Lloyd George Street, Ada Street, Daly Avenue, John Street and Franklyn Street from the rezoning entirely — these are narrow, established residential streets that are </w:t>
            </w:r>
            <w:r>
              <w:lastRenderedPageBreak/>
              <w:t>physically incapable of sustaining this level of density, and the communities that have built their lives here deserve to be protected, not demolished.</w:t>
            </w:r>
          </w:p>
        </w:tc>
      </w:tr>
    </w:tbl>
    <w:p w14:paraId="33D07521" w14:textId="77777777" w:rsidR="00F0667D" w:rsidRDefault="00F0667D">
      <w:pPr>
        <w:spacing w:before="100"/>
      </w:pPr>
    </w:p>
    <w:p w14:paraId="5F2A30E1" w14:textId="77777777" w:rsidR="00F0667D" w:rsidRDefault="00000000">
      <w:pPr>
        <w:spacing w:before="80" w:after="80"/>
      </w:pPr>
      <w:r>
        <w:rPr>
          <w:color w:val="222222"/>
        </w:rPr>
        <w:t>The NSW Government has stated that community feedback will be taken seriously in the finalisation of this rezoning. We will hold the Government to that commitment. This is not the end of our engagement — it is the beginning.</w:t>
      </w:r>
    </w:p>
    <w:p w14:paraId="70A202EC" w14:textId="77777777" w:rsidR="00F0667D" w:rsidRDefault="00F0667D">
      <w:pPr>
        <w:spacing w:before="120"/>
      </w:pPr>
    </w:p>
    <w:p w14:paraId="12571A1D" w14:textId="77777777" w:rsidR="00F0667D" w:rsidRDefault="00000000">
      <w:pPr>
        <w:spacing w:before="60" w:after="40"/>
      </w:pPr>
      <w:r>
        <w:rPr>
          <w:color w:val="222222"/>
        </w:rPr>
        <w:t>Name: ____________________________________________</w:t>
      </w:r>
    </w:p>
    <w:p w14:paraId="3291801C" w14:textId="77777777" w:rsidR="00F0667D" w:rsidRDefault="00000000">
      <w:pPr>
        <w:spacing w:before="40" w:after="40"/>
      </w:pPr>
      <w:r>
        <w:rPr>
          <w:color w:val="222222"/>
        </w:rPr>
        <w:t>Address: _________________________________________</w:t>
      </w:r>
    </w:p>
    <w:p w14:paraId="12EC8725" w14:textId="77777777" w:rsidR="00F0667D" w:rsidRDefault="00000000">
      <w:pPr>
        <w:spacing w:before="40" w:after="40"/>
      </w:pPr>
      <w:r>
        <w:rPr>
          <w:color w:val="222222"/>
        </w:rPr>
        <w:t>Date: ____________________________________________</w:t>
      </w:r>
    </w:p>
    <w:p w14:paraId="1709492C" w14:textId="77777777" w:rsidR="00F0667D" w:rsidRDefault="00000000">
      <w:pPr>
        <w:spacing w:before="40" w:after="80"/>
      </w:pPr>
      <w:r>
        <w:rPr>
          <w:color w:val="222222"/>
        </w:rPr>
        <w:t>Signature: _______________________________________</w:t>
      </w:r>
    </w:p>
    <w:p w14:paraId="5A48CF56" w14:textId="77777777" w:rsidR="00F0667D" w:rsidRDefault="00F0667D">
      <w:pPr>
        <w:pBdr>
          <w:bottom w:val="single" w:sz="4" w:space="1" w:color="2E5496"/>
        </w:pBdr>
        <w:spacing w:before="200" w:after="200"/>
      </w:pPr>
    </w:p>
    <w:p w14:paraId="3646F27B" w14:textId="77777777" w:rsidR="00F0667D" w:rsidRDefault="00000000">
      <w:pPr>
        <w:spacing w:before="60" w:after="60"/>
      </w:pPr>
      <w:r>
        <w:rPr>
          <w:color w:val="777777"/>
          <w:sz w:val="18"/>
          <w:szCs w:val="18"/>
        </w:rPr>
        <w:t>Submission lodged via: NSW Planning Portal — https://www.planningportal.nsw.gov.au/ppr/pre-exhibition/burwood-north   |   Or post to: Executive Director, State Rezoning, DPHI, Locked Bag 5022, Parramatta NSW 2124</w:t>
      </w:r>
    </w:p>
    <w:sectPr w:rsidR="00F0667D">
      <w:pgSz w:w="11906" w:h="16838"/>
      <w:pgMar w:top="1200" w:right="1200" w:bottom="12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CC4"/>
    <w:multiLevelType w:val="hybridMultilevel"/>
    <w:tmpl w:val="D250F8F2"/>
    <w:lvl w:ilvl="0" w:tplc="1CE24F18">
      <w:start w:val="1"/>
      <w:numFmt w:val="bullet"/>
      <w:lvlText w:val="•"/>
      <w:lvlJc w:val="left"/>
      <w:pPr>
        <w:ind w:left="720" w:hanging="360"/>
      </w:pPr>
    </w:lvl>
    <w:lvl w:ilvl="1" w:tplc="DEBEDD52">
      <w:numFmt w:val="decimal"/>
      <w:lvlText w:val=""/>
      <w:lvlJc w:val="left"/>
    </w:lvl>
    <w:lvl w:ilvl="2" w:tplc="23DAE81E">
      <w:numFmt w:val="decimal"/>
      <w:lvlText w:val=""/>
      <w:lvlJc w:val="left"/>
    </w:lvl>
    <w:lvl w:ilvl="3" w:tplc="610A222A">
      <w:numFmt w:val="decimal"/>
      <w:lvlText w:val=""/>
      <w:lvlJc w:val="left"/>
    </w:lvl>
    <w:lvl w:ilvl="4" w:tplc="059EE5F2">
      <w:numFmt w:val="decimal"/>
      <w:lvlText w:val=""/>
      <w:lvlJc w:val="left"/>
    </w:lvl>
    <w:lvl w:ilvl="5" w:tplc="2EB8D178">
      <w:numFmt w:val="decimal"/>
      <w:lvlText w:val=""/>
      <w:lvlJc w:val="left"/>
    </w:lvl>
    <w:lvl w:ilvl="6" w:tplc="632ABC2C">
      <w:numFmt w:val="decimal"/>
      <w:lvlText w:val=""/>
      <w:lvlJc w:val="left"/>
    </w:lvl>
    <w:lvl w:ilvl="7" w:tplc="9402B86C">
      <w:numFmt w:val="decimal"/>
      <w:lvlText w:val=""/>
      <w:lvlJc w:val="left"/>
    </w:lvl>
    <w:lvl w:ilvl="8" w:tplc="8DDA59F2">
      <w:numFmt w:val="decimal"/>
      <w:lvlText w:val=""/>
      <w:lvlJc w:val="left"/>
    </w:lvl>
  </w:abstractNum>
  <w:abstractNum w:abstractNumId="1" w15:restartNumberingAfterBreak="0">
    <w:nsid w:val="6D2C77DE"/>
    <w:multiLevelType w:val="hybridMultilevel"/>
    <w:tmpl w:val="BEDA476A"/>
    <w:lvl w:ilvl="0" w:tplc="F9CCBF1C">
      <w:start w:val="1"/>
      <w:numFmt w:val="bullet"/>
      <w:lvlText w:val="●"/>
      <w:lvlJc w:val="left"/>
      <w:pPr>
        <w:ind w:left="720" w:hanging="360"/>
      </w:pPr>
    </w:lvl>
    <w:lvl w:ilvl="1" w:tplc="17244560">
      <w:start w:val="1"/>
      <w:numFmt w:val="bullet"/>
      <w:lvlText w:val="○"/>
      <w:lvlJc w:val="left"/>
      <w:pPr>
        <w:ind w:left="1440" w:hanging="360"/>
      </w:pPr>
    </w:lvl>
    <w:lvl w:ilvl="2" w:tplc="CBCA78D4">
      <w:start w:val="1"/>
      <w:numFmt w:val="bullet"/>
      <w:lvlText w:val="■"/>
      <w:lvlJc w:val="left"/>
      <w:pPr>
        <w:ind w:left="2160" w:hanging="360"/>
      </w:pPr>
    </w:lvl>
    <w:lvl w:ilvl="3" w:tplc="C158E35E">
      <w:start w:val="1"/>
      <w:numFmt w:val="bullet"/>
      <w:lvlText w:val="●"/>
      <w:lvlJc w:val="left"/>
      <w:pPr>
        <w:ind w:left="2880" w:hanging="360"/>
      </w:pPr>
    </w:lvl>
    <w:lvl w:ilvl="4" w:tplc="0E9CBA24">
      <w:start w:val="1"/>
      <w:numFmt w:val="bullet"/>
      <w:lvlText w:val="○"/>
      <w:lvlJc w:val="left"/>
      <w:pPr>
        <w:ind w:left="3600" w:hanging="360"/>
      </w:pPr>
    </w:lvl>
    <w:lvl w:ilvl="5" w:tplc="95A2CAD6">
      <w:start w:val="1"/>
      <w:numFmt w:val="bullet"/>
      <w:lvlText w:val="■"/>
      <w:lvlJc w:val="left"/>
      <w:pPr>
        <w:ind w:left="4320" w:hanging="360"/>
      </w:pPr>
    </w:lvl>
    <w:lvl w:ilvl="6" w:tplc="03A8C6CA">
      <w:start w:val="1"/>
      <w:numFmt w:val="bullet"/>
      <w:lvlText w:val="●"/>
      <w:lvlJc w:val="left"/>
      <w:pPr>
        <w:ind w:left="5040" w:hanging="360"/>
      </w:pPr>
    </w:lvl>
    <w:lvl w:ilvl="7" w:tplc="ED86BE08">
      <w:start w:val="1"/>
      <w:numFmt w:val="bullet"/>
      <w:lvlText w:val="●"/>
      <w:lvlJc w:val="left"/>
      <w:pPr>
        <w:ind w:left="5760" w:hanging="360"/>
      </w:pPr>
    </w:lvl>
    <w:lvl w:ilvl="8" w:tplc="CEF2A6D6">
      <w:start w:val="1"/>
      <w:numFmt w:val="bullet"/>
      <w:lvlText w:val="●"/>
      <w:lvlJc w:val="left"/>
      <w:pPr>
        <w:ind w:left="6480" w:hanging="360"/>
      </w:pPr>
    </w:lvl>
  </w:abstractNum>
  <w:abstractNum w:abstractNumId="2" w15:restartNumberingAfterBreak="0">
    <w:nsid w:val="7823237C"/>
    <w:multiLevelType w:val="hybridMultilevel"/>
    <w:tmpl w:val="E4E00F42"/>
    <w:lvl w:ilvl="0" w:tplc="AF20F276">
      <w:start w:val="1"/>
      <w:numFmt w:val="bullet"/>
      <w:lvlText w:val="◦"/>
      <w:lvlJc w:val="left"/>
      <w:pPr>
        <w:ind w:left="1080" w:hanging="360"/>
      </w:pPr>
    </w:lvl>
    <w:lvl w:ilvl="1" w:tplc="24A2A96C">
      <w:numFmt w:val="decimal"/>
      <w:lvlText w:val=""/>
      <w:lvlJc w:val="left"/>
    </w:lvl>
    <w:lvl w:ilvl="2" w:tplc="05B8AA06">
      <w:numFmt w:val="decimal"/>
      <w:lvlText w:val=""/>
      <w:lvlJc w:val="left"/>
    </w:lvl>
    <w:lvl w:ilvl="3" w:tplc="44C0E644">
      <w:numFmt w:val="decimal"/>
      <w:lvlText w:val=""/>
      <w:lvlJc w:val="left"/>
    </w:lvl>
    <w:lvl w:ilvl="4" w:tplc="63F8782A">
      <w:numFmt w:val="decimal"/>
      <w:lvlText w:val=""/>
      <w:lvlJc w:val="left"/>
    </w:lvl>
    <w:lvl w:ilvl="5" w:tplc="4DD69F5C">
      <w:numFmt w:val="decimal"/>
      <w:lvlText w:val=""/>
      <w:lvlJc w:val="left"/>
    </w:lvl>
    <w:lvl w:ilvl="6" w:tplc="16FE8736">
      <w:numFmt w:val="decimal"/>
      <w:lvlText w:val=""/>
      <w:lvlJc w:val="left"/>
    </w:lvl>
    <w:lvl w:ilvl="7" w:tplc="CD8CFDF0">
      <w:numFmt w:val="decimal"/>
      <w:lvlText w:val=""/>
      <w:lvlJc w:val="left"/>
    </w:lvl>
    <w:lvl w:ilvl="8" w:tplc="A1805540">
      <w:numFmt w:val="decimal"/>
      <w:lvlText w:val=""/>
      <w:lvlJc w:val="left"/>
    </w:lvl>
  </w:abstractNum>
  <w:num w:numId="1" w16cid:durableId="496580297">
    <w:abstractNumId w:val="1"/>
    <w:lvlOverride w:ilvl="0">
      <w:startOverride w:val="1"/>
    </w:lvlOverride>
  </w:num>
  <w:num w:numId="2" w16cid:durableId="16219520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67D"/>
    <w:rsid w:val="0019291B"/>
    <w:rsid w:val="001A656C"/>
    <w:rsid w:val="00392432"/>
    <w:rsid w:val="004570B8"/>
    <w:rsid w:val="004E4270"/>
    <w:rsid w:val="00777FE4"/>
    <w:rsid w:val="00D84AD4"/>
    <w:rsid w:val="00F0667D"/>
    <w:rsid w:val="00F964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411AEA6"/>
  <w15:docId w15:val="{4AB4154D-8E89-784A-BD83-37A65D41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3864"/>
      <w:sz w:val="32"/>
      <w:szCs w:val="32"/>
    </w:rPr>
  </w:style>
  <w:style w:type="paragraph" w:styleId="Heading2">
    <w:name w:val="heading 2"/>
    <w:uiPriority w:val="9"/>
    <w:semiHidden/>
    <w:unhideWhenUsed/>
    <w:qFormat/>
    <w:pPr>
      <w:spacing w:before="200" w:after="100"/>
      <w:outlineLvl w:val="1"/>
    </w:pPr>
    <w:rPr>
      <w:b/>
      <w:bCs/>
      <w:color w:val="2E549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3203</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Amanda Bull</cp:lastModifiedBy>
  <cp:revision>7</cp:revision>
  <dcterms:created xsi:type="dcterms:W3CDTF">2026-03-22T03:10:00Z</dcterms:created>
  <dcterms:modified xsi:type="dcterms:W3CDTF">2026-03-28T08:59:00Z</dcterms:modified>
</cp:coreProperties>
</file>